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4F78FA"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5120FEBB" w:rsidR="006D3771" w:rsidRPr="008B6B20" w:rsidRDefault="00A459BF" w:rsidP="006D3771">
            <w:pPr>
              <w:jc w:val="center"/>
              <w:rPr>
                <w:sz w:val="32"/>
                <w:szCs w:val="32"/>
                <w:lang w:val="en-GB"/>
              </w:rPr>
            </w:pPr>
            <w:r>
              <w:rPr>
                <w:sz w:val="32"/>
                <w:szCs w:val="32"/>
                <w:lang w:val="en-GB"/>
              </w:rPr>
              <w:t>Montenegro</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4FDFA2C3" w14:textId="77777777" w:rsidR="00161282" w:rsidRPr="00161282" w:rsidRDefault="00161282" w:rsidP="00161282">
      <w:pPr>
        <w:keepNext/>
        <w:spacing w:before="320"/>
        <w:outlineLvl w:val="0"/>
        <w:rPr>
          <w:rFonts w:ascii="Calibri Light" w:eastAsia="Times New Roman" w:hAnsi="Calibri Light" w:cs="Calibri Light"/>
          <w:color w:val="2F5496"/>
          <w:kern w:val="36"/>
          <w:sz w:val="32"/>
          <w:szCs w:val="32"/>
          <w:lang w:val="en-US"/>
        </w:rPr>
      </w:pPr>
      <w:r w:rsidRPr="00161282">
        <w:rPr>
          <w:rFonts w:ascii="Calibri Light" w:eastAsia="Times New Roman" w:hAnsi="Calibri Light" w:cs="Calibri Light"/>
          <w:color w:val="2F5496"/>
          <w:kern w:val="36"/>
          <w:sz w:val="32"/>
          <w:szCs w:val="32"/>
          <w:lang w:val="en-US"/>
        </w:rPr>
        <w:t xml:space="preserve">I Justice System </w:t>
      </w:r>
    </w:p>
    <w:p w14:paraId="517401A8" w14:textId="77777777" w:rsidR="00161282" w:rsidRPr="00161282" w:rsidRDefault="00161282" w:rsidP="00161282">
      <w:pPr>
        <w:autoSpaceDE w:val="0"/>
        <w:autoSpaceDN w:val="0"/>
        <w:jc w:val="both"/>
        <w:rPr>
          <w:rFonts w:ascii="Calibri" w:eastAsiaTheme="minorHAnsi" w:hAnsi="Calibri" w:cs="Calibri"/>
          <w:color w:val="000000"/>
          <w:sz w:val="22"/>
          <w:szCs w:val="22"/>
          <w:lang w:val="en-US"/>
          <w14:ligatures w14:val="standardContextual"/>
        </w:rPr>
      </w:pPr>
    </w:p>
    <w:p w14:paraId="6A707CAB" w14:textId="77777777" w:rsidR="00161282" w:rsidRPr="00161282" w:rsidRDefault="00161282" w:rsidP="00161282">
      <w:pPr>
        <w:autoSpaceDE w:val="0"/>
        <w:autoSpaceDN w:val="0"/>
        <w:jc w:val="both"/>
        <w:rPr>
          <w:rFonts w:ascii="Calibri" w:eastAsiaTheme="minorHAnsi" w:hAnsi="Calibri" w:cs="Calibri"/>
          <w:color w:val="000000"/>
          <w:sz w:val="22"/>
          <w:szCs w:val="22"/>
          <w:lang w:val="en-US"/>
          <w14:ligatures w14:val="standardContextual"/>
        </w:rPr>
      </w:pPr>
      <w:r w:rsidRPr="00161282">
        <w:rPr>
          <w:rFonts w:ascii="Calibri" w:eastAsiaTheme="minorHAnsi" w:hAnsi="Calibri" w:cs="Calibri"/>
          <w:color w:val="000000"/>
          <w:sz w:val="22"/>
          <w:szCs w:val="22"/>
          <w:lang w:val="en-US"/>
          <w14:ligatures w14:val="standardContextual"/>
        </w:rPr>
        <w:t xml:space="preserve">The European Commission for the Efficiency of Justice (CEPEJ) regularly collects data on judicial systems concerning efficiency and quality of the justice system. </w:t>
      </w:r>
    </w:p>
    <w:p w14:paraId="786BA8E0" w14:textId="77777777" w:rsidR="00161282" w:rsidRPr="00161282" w:rsidRDefault="00161282" w:rsidP="00161282">
      <w:pPr>
        <w:shd w:val="clear" w:color="auto" w:fill="FFFFFF"/>
        <w:spacing w:before="100" w:beforeAutospacing="1" w:after="100" w:afterAutospacing="1"/>
        <w:rPr>
          <w:rFonts w:ascii="Calibri" w:eastAsiaTheme="minorHAnsi" w:hAnsi="Calibri" w:cs="Calibri"/>
          <w:sz w:val="22"/>
          <w:szCs w:val="22"/>
          <w:lang w:val="en-GB"/>
          <w14:ligatures w14:val="standardContextual"/>
        </w:rPr>
      </w:pPr>
      <w:r w:rsidRPr="00161282">
        <w:rPr>
          <w:rFonts w:ascii="Calibri" w:eastAsiaTheme="minorHAnsi" w:hAnsi="Calibri" w:cs="Calibri"/>
          <w:color w:val="000000"/>
          <w:sz w:val="22"/>
          <w:szCs w:val="22"/>
          <w:lang w:val="en-US"/>
          <w14:ligatures w14:val="standardContextual"/>
        </w:rPr>
        <w:t xml:space="preserve">In 2024, 2022 data have been collected, quality checked and the CEPEJ </w:t>
      </w:r>
      <w:r w:rsidRPr="00161282">
        <w:rPr>
          <w:rFonts w:ascii="Calibri" w:eastAsiaTheme="minorHAnsi" w:hAnsi="Calibri" w:cs="Calibri"/>
          <w:color w:val="000000"/>
          <w:sz w:val="22"/>
          <w:szCs w:val="22"/>
          <w:lang w:val="en-GB"/>
          <w14:ligatures w14:val="standardContextual"/>
        </w:rPr>
        <w:t>European Judicial Systems Evaluation Report (</w:t>
      </w:r>
      <w:hyperlink r:id="rId9" w:history="1">
        <w:r w:rsidRPr="00161282">
          <w:rPr>
            <w:rFonts w:ascii="Calibri" w:eastAsiaTheme="minorHAnsi" w:hAnsi="Calibri" w:cs="Calibri"/>
            <w:color w:val="0563C1"/>
            <w:sz w:val="22"/>
            <w:szCs w:val="22"/>
            <w:u w:val="single"/>
            <w:lang w:val="en-GB"/>
            <w14:ligatures w14:val="standardContextual"/>
          </w:rPr>
          <w:t>General analyses</w:t>
        </w:r>
      </w:hyperlink>
      <w:r w:rsidRPr="00161282">
        <w:rPr>
          <w:rFonts w:ascii="Calibri" w:eastAsiaTheme="minorHAnsi" w:hAnsi="Calibri" w:cs="Calibri"/>
          <w:color w:val="000000"/>
          <w:sz w:val="22"/>
          <w:szCs w:val="22"/>
          <w:lang w:val="en-GB"/>
          <w14:ligatures w14:val="standardContextual"/>
        </w:rPr>
        <w:t xml:space="preserve"> and  </w:t>
      </w:r>
      <w:hyperlink r:id="rId10" w:history="1">
        <w:r w:rsidRPr="00161282">
          <w:rPr>
            <w:rFonts w:ascii="Calibri" w:eastAsiaTheme="minorHAnsi" w:hAnsi="Calibri" w:cs="Calibri"/>
            <w:color w:val="0563C1"/>
            <w:sz w:val="22"/>
            <w:szCs w:val="22"/>
            <w:u w:val="single"/>
            <w:lang w:val="en-GB"/>
            <w14:ligatures w14:val="standardContextual"/>
          </w:rPr>
          <w:t>CEPEJ-STAT database</w:t>
        </w:r>
      </w:hyperlink>
      <w:r w:rsidRPr="00161282">
        <w:rPr>
          <w:rFonts w:ascii="Calibri" w:eastAsiaTheme="minorHAnsi" w:hAnsi="Calibri" w:cs="Calibri"/>
          <w:color w:val="000000"/>
          <w:sz w:val="22"/>
          <w:szCs w:val="22"/>
          <w:lang w:val="en-GB"/>
          <w14:ligatures w14:val="standardContextual"/>
        </w:rPr>
        <w:t xml:space="preserve">) was </w:t>
      </w:r>
      <w:r w:rsidRPr="00161282">
        <w:rPr>
          <w:rFonts w:ascii="Calibri" w:eastAsiaTheme="minorHAnsi" w:hAnsi="Calibri" w:cs="Calibri"/>
          <w:color w:val="000000"/>
          <w:sz w:val="22"/>
          <w:szCs w:val="22"/>
          <w:lang w:val="en-US"/>
          <w14:ligatures w14:val="standardContextual"/>
        </w:rPr>
        <w:t xml:space="preserve">published. </w:t>
      </w:r>
      <w:r w:rsidRPr="00161282">
        <w:rPr>
          <w:rFonts w:ascii="Calibri" w:eastAsiaTheme="minorHAnsi" w:hAnsi="Calibri" w:cs="Calibri"/>
          <w:color w:val="000000"/>
          <w:sz w:val="22"/>
          <w:szCs w:val="22"/>
          <w:lang w:val="en-GB"/>
          <w14:ligatures w14:val="standardContextual"/>
        </w:rPr>
        <w:t xml:space="preserve">This report also includes </w:t>
      </w:r>
      <w:r w:rsidRPr="00161282">
        <w:rPr>
          <w:rFonts w:ascii="Calibri" w:eastAsiaTheme="minorHAnsi" w:hAnsi="Calibri" w:cs="Calibri"/>
          <w:color w:val="000000"/>
          <w:sz w:val="22"/>
          <w:szCs w:val="22"/>
          <w:lang w:val="en-US"/>
          <w14:ligatures w14:val="standardContextual"/>
        </w:rPr>
        <w:t xml:space="preserve">country profiles for each Council of Europe Member State, based on 2022 data. </w:t>
      </w:r>
    </w:p>
    <w:p w14:paraId="553A83C6" w14:textId="13BD7C5E" w:rsidR="00161282" w:rsidRPr="00161282" w:rsidRDefault="00000000" w:rsidP="00161282">
      <w:pPr>
        <w:rPr>
          <w:rFonts w:ascii="Calibri" w:eastAsiaTheme="minorHAnsi" w:hAnsi="Calibri" w:cs="Calibri"/>
          <w:sz w:val="22"/>
          <w:szCs w:val="22"/>
          <w:lang w:val="en-US"/>
          <w14:ligatures w14:val="standardContextual"/>
        </w:rPr>
      </w:pPr>
      <w:hyperlink r:id="rId11" w:history="1">
        <w:r w:rsidR="00A459BF">
          <w:rPr>
            <w:rStyle w:val="Hyperlink"/>
            <w:rFonts w:ascii="Calibri" w:eastAsiaTheme="minorHAnsi" w:hAnsi="Calibri" w:cs="Calibri"/>
            <w:sz w:val="22"/>
            <w:szCs w:val="22"/>
            <w:lang w:val="en-US"/>
            <w14:ligatures w14:val="standardContextual"/>
          </w:rPr>
          <w:t>CEPEJ Evaluation Report - Country Profiles – Montenegro</w:t>
        </w:r>
      </w:hyperlink>
      <w:r w:rsidR="00161282" w:rsidRPr="00161282">
        <w:rPr>
          <w:rFonts w:ascii="Calibri" w:eastAsiaTheme="minorHAnsi" w:hAnsi="Calibri" w:cs="Calibri"/>
          <w:sz w:val="22"/>
          <w:szCs w:val="22"/>
          <w:lang w:val="en-US"/>
          <w14:ligatures w14:val="standardContextual"/>
        </w:rPr>
        <w:t xml:space="preserve"> </w:t>
      </w:r>
    </w:p>
    <w:p w14:paraId="239B07E5" w14:textId="77777777" w:rsidR="00161282" w:rsidRPr="00161282" w:rsidRDefault="00161282" w:rsidP="00161282">
      <w:pPr>
        <w:shd w:val="clear" w:color="auto" w:fill="FFFFFF"/>
        <w:spacing w:before="100" w:beforeAutospacing="1" w:after="100" w:afterAutospacing="1"/>
        <w:rPr>
          <w:rFonts w:ascii="Calibri" w:eastAsiaTheme="minorHAnsi" w:hAnsi="Calibri" w:cs="Calibri"/>
          <w:sz w:val="22"/>
          <w:szCs w:val="22"/>
          <w:lang w:val="en-GB"/>
          <w14:ligatures w14:val="standardContextual"/>
        </w:rPr>
      </w:pPr>
      <w:r w:rsidRPr="00161282">
        <w:rPr>
          <w:rFonts w:ascii="Calibri" w:eastAsiaTheme="minorHAnsi" w:hAnsi="Calibri" w:cs="Calibri"/>
          <w:color w:val="000000"/>
          <w:sz w:val="22"/>
          <w:szCs w:val="22"/>
          <w:lang w:val="en-GB"/>
          <w14:ligatures w14:val="standardContextual"/>
        </w:rPr>
        <w:t xml:space="preserve">In addition, CEPEJ prepares Country profiles in the framework of the Dashboard Western Balkans project. </w:t>
      </w:r>
    </w:p>
    <w:p w14:paraId="0D8AB07D" w14:textId="017975DB" w:rsidR="00161282" w:rsidRDefault="00000000" w:rsidP="00161282">
      <w:pPr>
        <w:shd w:val="clear" w:color="auto" w:fill="FFFFFF"/>
        <w:spacing w:before="100" w:beforeAutospacing="1" w:after="100" w:afterAutospacing="1"/>
        <w:rPr>
          <w:rStyle w:val="Hyperlink"/>
          <w:rFonts w:ascii="Calibri" w:eastAsiaTheme="minorHAnsi" w:hAnsi="Calibri" w:cs="Calibri"/>
          <w:sz w:val="22"/>
          <w:szCs w:val="22"/>
          <w:lang w:val="en-US"/>
          <w14:ligatures w14:val="standardContextual"/>
        </w:rPr>
      </w:pPr>
      <w:hyperlink r:id="rId12" w:history="1">
        <w:r w:rsidR="00A459BF">
          <w:rPr>
            <w:rStyle w:val="Hyperlink"/>
            <w:rFonts w:ascii="Calibri" w:eastAsiaTheme="minorHAnsi" w:hAnsi="Calibri" w:cs="Calibri"/>
            <w:sz w:val="22"/>
            <w:szCs w:val="22"/>
            <w:lang w:val="en-US"/>
            <w14:ligatures w14:val="standardContextual"/>
          </w:rPr>
          <w:t>Country profile – Dashboard western Balkans - Montenegro (2023 data)</w:t>
        </w:r>
      </w:hyperlink>
    </w:p>
    <w:p w14:paraId="11215CFA" w14:textId="77777777" w:rsidR="006F4A64" w:rsidRDefault="006F4A64" w:rsidP="006F4A64">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Montenegro</w:t>
      </w:r>
    </w:p>
    <w:p w14:paraId="47F8A2CF" w14:textId="77777777" w:rsidR="006F4A64" w:rsidRDefault="006F4A64" w:rsidP="006F4A64">
      <w:pPr>
        <w:pStyle w:val="Default"/>
        <w:jc w:val="both"/>
        <w:rPr>
          <w:rFonts w:asciiTheme="minorHAnsi" w:eastAsiaTheme="minorEastAsia" w:hAnsiTheme="minorHAnsi" w:cstheme="minorHAnsi"/>
          <w:b/>
          <w:bCs/>
          <w:color w:val="auto"/>
          <w:sz w:val="20"/>
          <w:szCs w:val="20"/>
          <w:lang w:val="en-GB"/>
        </w:rPr>
      </w:pPr>
    </w:p>
    <w:p w14:paraId="7A28DFDC" w14:textId="288ABDB0" w:rsidR="006F4A64" w:rsidRDefault="006F4A64" w:rsidP="006F4A64">
      <w:pPr>
        <w:shd w:val="clear" w:color="auto" w:fill="FFFFFF"/>
        <w:spacing w:before="100" w:beforeAutospacing="1" w:after="100" w:afterAutospacing="1"/>
        <w:rPr>
          <w:rStyle w:val="Hyperlink"/>
          <w:rFonts w:ascii="Calibri" w:eastAsiaTheme="minorHAnsi" w:hAnsi="Calibri" w:cs="Calibri"/>
          <w:sz w:val="22"/>
          <w:szCs w:val="22"/>
          <w:lang w:val="en-US"/>
          <w14:ligatures w14:val="standardContextual"/>
        </w:rPr>
      </w:pPr>
      <w:r>
        <w:rPr>
          <w:rFonts w:cstheme="minorHAnsi"/>
          <w:b/>
          <w:bCs/>
          <w:i/>
          <w:iCs/>
          <w:lang w:val="en-GB"/>
        </w:rPr>
        <w:t>IMPORTANT COMMENT</w:t>
      </w:r>
      <w:r w:rsidRPr="00AB04B5">
        <w:rPr>
          <w:rFonts w:cstheme="minorHAnsi"/>
          <w:b/>
          <w:bCs/>
          <w:i/>
          <w:iCs/>
          <w:lang w:val="en-GB"/>
        </w:rPr>
        <w:t xml:space="preserve">: </w:t>
      </w:r>
      <w:r w:rsidRPr="003C3013">
        <w:rPr>
          <w:rFonts w:cstheme="minorHAnsi"/>
          <w:b/>
          <w:bCs/>
          <w:i/>
          <w:iCs/>
          <w:lang w:val="en-US"/>
        </w:rPr>
        <w:t xml:space="preserve">Official figures/statistics on the execution of judgments of the European Court of Human Rights are published in the Committee of Ministers </w:t>
      </w:r>
      <w:hyperlink r:id="rId13" w:history="1">
        <w:r w:rsidRPr="003C3013">
          <w:rPr>
            <w:rStyle w:val="Hyperlink"/>
            <w:rFonts w:cstheme="minorHAnsi"/>
            <w:b/>
            <w:bCs/>
            <w:i/>
            <w:iCs/>
            <w:lang w:val="en-US"/>
          </w:rPr>
          <w:t>Annual reports on the execution</w:t>
        </w:r>
      </w:hyperlink>
      <w:r w:rsidRPr="003C3013">
        <w:rPr>
          <w:rFonts w:cstheme="minorHAnsi"/>
          <w:b/>
          <w:bCs/>
          <w:i/>
          <w:iCs/>
          <w:lang w:val="en-US"/>
        </w:rPr>
        <w:t xml:space="preserve"> (next edition to be published in March 2025). The </w:t>
      </w:r>
      <w:proofErr w:type="spellStart"/>
      <w:r w:rsidRPr="003C3013">
        <w:rPr>
          <w:rFonts w:cstheme="minorHAnsi"/>
          <w:b/>
          <w:bCs/>
          <w:i/>
          <w:iCs/>
          <w:lang w:val="en-US"/>
        </w:rPr>
        <w:t>CoE’s</w:t>
      </w:r>
      <w:proofErr w:type="spellEnd"/>
      <w:r w:rsidRPr="003C3013">
        <w:rPr>
          <w:rFonts w:cstheme="minorHAnsi"/>
          <w:b/>
          <w:bCs/>
          <w:i/>
          <w:iCs/>
          <w:lang w:val="en-US"/>
        </w:rPr>
        <w:t xml:space="preserve"> Department for the Execution of Judgments can be consulted for any question on statistics: </w:t>
      </w:r>
      <w:hyperlink r:id="rId14" w:history="1">
        <w:r w:rsidRPr="003C3013">
          <w:rPr>
            <w:rStyle w:val="Hyperlink"/>
            <w:rFonts w:cstheme="minorHAnsi"/>
            <w:b/>
            <w:bCs/>
            <w:i/>
            <w:iCs/>
            <w:lang w:val="en-US"/>
          </w:rPr>
          <w:t>DGI-Execution@coe.int</w:t>
        </w:r>
      </w:hyperlink>
    </w:p>
    <w:p w14:paraId="43B3BECA" w14:textId="77777777" w:rsidR="006F4A64" w:rsidRDefault="006F4A64" w:rsidP="00161282">
      <w:pPr>
        <w:shd w:val="clear" w:color="auto" w:fill="FFFFFF"/>
        <w:spacing w:before="100" w:beforeAutospacing="1" w:after="100" w:afterAutospacing="1"/>
        <w:rPr>
          <w:rStyle w:val="Hyperlink"/>
          <w:rFonts w:ascii="Calibri" w:eastAsiaTheme="minorHAnsi" w:hAnsi="Calibri" w:cs="Calibri"/>
          <w:sz w:val="22"/>
          <w:szCs w:val="22"/>
          <w:lang w:val="en-US"/>
          <w14:ligatures w14:val="standardContextual"/>
        </w:rPr>
      </w:pPr>
    </w:p>
    <w:p w14:paraId="077CB17A" w14:textId="77777777" w:rsidR="006F4A64" w:rsidRDefault="006F4A64" w:rsidP="006F4A64">
      <w:pPr>
        <w:pStyle w:val="Default"/>
        <w:jc w:val="both"/>
        <w:rPr>
          <w:rFonts w:eastAsia="Times New Roman"/>
          <w:sz w:val="20"/>
          <w:szCs w:val="20"/>
          <w:lang w:val="en-GB"/>
        </w:rPr>
      </w:pPr>
      <w:r w:rsidRPr="00FB049C">
        <w:rPr>
          <w:rFonts w:eastAsia="Times New Roman"/>
          <w:sz w:val="20"/>
          <w:szCs w:val="20"/>
          <w:u w:val="single"/>
          <w:lang w:val="en-GB"/>
        </w:rPr>
        <w:t>Dedi</w:t>
      </w:r>
      <w:r w:rsidRPr="00FB049C">
        <w:rPr>
          <w:rFonts w:eastAsia="Times New Roman"/>
          <w:sz w:val="20"/>
          <w:szCs w:val="20"/>
          <w:u w:val="single"/>
          <w:lang w:val="bs-Latn-BA"/>
        </w:rPr>
        <w:t xml:space="preserve">ć and Others </w:t>
      </w:r>
      <w:r>
        <w:rPr>
          <w:rFonts w:eastAsia="Times New Roman"/>
          <w:sz w:val="20"/>
          <w:szCs w:val="20"/>
          <w:u w:val="single"/>
          <w:lang w:val="bs-Latn-BA"/>
        </w:rPr>
        <w:t xml:space="preserve">group </w:t>
      </w:r>
      <w:r w:rsidRPr="00FB049C">
        <w:rPr>
          <w:rFonts w:eastAsia="Times New Roman"/>
          <w:sz w:val="20"/>
          <w:szCs w:val="20"/>
          <w:u w:val="single"/>
          <w:lang w:val="bs-Latn-BA"/>
        </w:rPr>
        <w:t>v. Montenegro</w:t>
      </w:r>
      <w:r>
        <w:rPr>
          <w:rFonts w:eastAsia="Times New Roman"/>
          <w:sz w:val="20"/>
          <w:szCs w:val="20"/>
          <w:lang w:val="bs-Latn-BA"/>
        </w:rPr>
        <w:t xml:space="preserve"> </w:t>
      </w:r>
      <w:r>
        <w:rPr>
          <w:rFonts w:eastAsia="Times New Roman"/>
          <w:sz w:val="20"/>
          <w:szCs w:val="20"/>
          <w:lang w:val="en-GB"/>
        </w:rPr>
        <w:t>(</w:t>
      </w:r>
      <w:r w:rsidRPr="00FB049C">
        <w:rPr>
          <w:rFonts w:eastAsia="Times New Roman"/>
          <w:sz w:val="20"/>
          <w:szCs w:val="20"/>
          <w:lang w:val="en-GB"/>
        </w:rPr>
        <w:t>4847/20</w:t>
      </w:r>
      <w:r>
        <w:rPr>
          <w:rFonts w:eastAsia="Times New Roman"/>
          <w:sz w:val="20"/>
          <w:szCs w:val="20"/>
          <w:lang w:val="en-GB"/>
        </w:rPr>
        <w:t>) (ENHA</w:t>
      </w:r>
      <w:r w:rsidRPr="00FB049C">
        <w:rPr>
          <w:rFonts w:eastAsia="Times New Roman"/>
          <w:sz w:val="20"/>
          <w:szCs w:val="20"/>
          <w:lang w:val="en-GB"/>
        </w:rPr>
        <w:t>): concern violations of the applicants’ right to a fair trial and the peaceful enjoyment of their property due to the non-enforcement of domestic judicial decisions rendered since 2006 in the applicants’ favour against a socially/State-owned company.</w:t>
      </w:r>
      <w:r>
        <w:rPr>
          <w:rFonts w:eastAsia="Times New Roman"/>
          <w:sz w:val="20"/>
          <w:szCs w:val="20"/>
          <w:lang w:val="en-GB"/>
        </w:rPr>
        <w:t xml:space="preserve"> </w:t>
      </w:r>
    </w:p>
    <w:p w14:paraId="55B14D97" w14:textId="77777777" w:rsidR="006F4A64" w:rsidRDefault="006F4A64" w:rsidP="006F4A64">
      <w:pPr>
        <w:pStyle w:val="Default"/>
        <w:rPr>
          <w:rFonts w:eastAsia="Times New Roman"/>
          <w:sz w:val="20"/>
          <w:szCs w:val="20"/>
          <w:lang w:val="bs-Latn-BA"/>
        </w:rPr>
      </w:pPr>
      <w:r>
        <w:rPr>
          <w:rFonts w:eastAsia="Times New Roman"/>
          <w:sz w:val="20"/>
          <w:szCs w:val="20"/>
          <w:lang w:val="en-GB"/>
        </w:rPr>
        <w:t xml:space="preserve">Presentation on </w:t>
      </w:r>
      <w:proofErr w:type="spellStart"/>
      <w:r>
        <w:rPr>
          <w:rFonts w:eastAsia="Times New Roman"/>
          <w:sz w:val="20"/>
          <w:szCs w:val="20"/>
          <w:lang w:val="en-GB"/>
        </w:rPr>
        <w:t>hudoc</w:t>
      </w:r>
      <w:proofErr w:type="spellEnd"/>
      <w:r>
        <w:rPr>
          <w:rFonts w:eastAsia="Times New Roman"/>
          <w:sz w:val="20"/>
          <w:szCs w:val="20"/>
          <w:lang w:val="en-GB"/>
        </w:rPr>
        <w:t xml:space="preserve"> exec: </w:t>
      </w:r>
      <w:hyperlink r:id="rId15" w:history="1">
        <w:r w:rsidRPr="00FB049C">
          <w:rPr>
            <w:rStyle w:val="Hyperlink"/>
            <w:rFonts w:eastAsia="Times New Roman"/>
            <w:sz w:val="20"/>
            <w:szCs w:val="20"/>
            <w:lang w:val="en-GB"/>
          </w:rPr>
          <w:t>Dedi</w:t>
        </w:r>
        <w:r w:rsidRPr="00FB049C">
          <w:rPr>
            <w:rStyle w:val="Hyperlink"/>
            <w:rFonts w:eastAsia="Times New Roman"/>
            <w:sz w:val="20"/>
            <w:szCs w:val="20"/>
            <w:lang w:val="bs-Latn-BA"/>
          </w:rPr>
          <w:t>ć and Others</w:t>
        </w:r>
      </w:hyperlink>
      <w:r>
        <w:rPr>
          <w:rFonts w:eastAsia="Times New Roman"/>
          <w:sz w:val="20"/>
          <w:szCs w:val="20"/>
          <w:lang w:val="bs-Latn-BA"/>
        </w:rPr>
        <w:t xml:space="preserve"> </w:t>
      </w:r>
    </w:p>
    <w:p w14:paraId="0DFA8382" w14:textId="77777777" w:rsidR="006F4A64" w:rsidRDefault="006F4A64" w:rsidP="006F4A64">
      <w:pPr>
        <w:pStyle w:val="Default"/>
        <w:rPr>
          <w:rFonts w:eastAsia="Times New Roman"/>
          <w:sz w:val="20"/>
          <w:szCs w:val="20"/>
          <w:lang w:val="bs-Latn-BA"/>
        </w:rPr>
      </w:pPr>
      <w:r>
        <w:rPr>
          <w:rFonts w:eastAsia="Times New Roman"/>
          <w:sz w:val="20"/>
          <w:szCs w:val="20"/>
          <w:lang w:val="bs-Latn-BA"/>
        </w:rPr>
        <w:t>Latest decisions of the Committee of Ministers: NA (first examination scheduled in June 2025)</w:t>
      </w:r>
    </w:p>
    <w:p w14:paraId="5E93CA0C" w14:textId="77777777" w:rsidR="006F4A64" w:rsidRPr="00FB049C" w:rsidRDefault="006F4A64" w:rsidP="006F4A64">
      <w:pPr>
        <w:pStyle w:val="Default"/>
        <w:rPr>
          <w:rFonts w:eastAsia="Times New Roman"/>
          <w:sz w:val="20"/>
          <w:szCs w:val="20"/>
          <w:lang w:val="en-GB"/>
        </w:rPr>
      </w:pPr>
      <w:r>
        <w:rPr>
          <w:rFonts w:eastAsia="Times New Roman"/>
          <w:sz w:val="20"/>
          <w:szCs w:val="20"/>
          <w:lang w:val="bs-Latn-BA"/>
        </w:rPr>
        <w:t>Latest submissions</w:t>
      </w:r>
      <w:r>
        <w:rPr>
          <w:rFonts w:eastAsia="Times New Roman"/>
          <w:sz w:val="20"/>
          <w:szCs w:val="20"/>
          <w:lang w:val="en-GB"/>
        </w:rPr>
        <w:t xml:space="preserve">: </w:t>
      </w:r>
      <w:bookmarkStart w:id="0" w:name="_Hlk147138803"/>
      <w:r>
        <w:rPr>
          <w:rFonts w:eastAsia="Times New Roman"/>
          <w:sz w:val="20"/>
          <w:szCs w:val="20"/>
        </w:rPr>
        <w:fldChar w:fldCharType="begin"/>
      </w:r>
      <w:r w:rsidRPr="00D6627D">
        <w:rPr>
          <w:rFonts w:eastAsia="Times New Roman"/>
          <w:sz w:val="20"/>
          <w:szCs w:val="20"/>
          <w:lang w:val="en-GB"/>
        </w:rPr>
        <w:instrText>HYPERLINK "https://hudoc.exec.coe.int/eng?i=DH-DD(2024)1141E"</w:instrText>
      </w:r>
      <w:r>
        <w:rPr>
          <w:rFonts w:eastAsia="Times New Roman"/>
          <w:sz w:val="20"/>
          <w:szCs w:val="20"/>
        </w:rPr>
      </w:r>
      <w:r>
        <w:rPr>
          <w:rFonts w:eastAsia="Times New Roman"/>
          <w:sz w:val="20"/>
          <w:szCs w:val="20"/>
        </w:rPr>
        <w:fldChar w:fldCharType="separate"/>
      </w:r>
      <w:r w:rsidRPr="00D6627D">
        <w:rPr>
          <w:rStyle w:val="Hyperlink"/>
          <w:rFonts w:eastAsia="Times New Roman"/>
          <w:sz w:val="20"/>
          <w:szCs w:val="20"/>
          <w:lang w:val="en-GB"/>
        </w:rPr>
        <w:t>DH-DD(2024)1141</w:t>
      </w:r>
      <w:bookmarkEnd w:id="0"/>
      <w:r>
        <w:rPr>
          <w:rFonts w:eastAsia="Times New Roman"/>
          <w:sz w:val="20"/>
          <w:szCs w:val="20"/>
        </w:rPr>
        <w:fldChar w:fldCharType="end"/>
      </w:r>
    </w:p>
    <w:p w14:paraId="66BB148F" w14:textId="77777777" w:rsidR="006F4A64" w:rsidRDefault="006F4A64" w:rsidP="006F4A64">
      <w:pPr>
        <w:pStyle w:val="Default"/>
        <w:rPr>
          <w:rFonts w:eastAsia="Times New Roman"/>
          <w:sz w:val="20"/>
          <w:szCs w:val="20"/>
          <w:lang w:val="en-GB"/>
        </w:rPr>
      </w:pPr>
    </w:p>
    <w:p w14:paraId="3210A8DD" w14:textId="77777777" w:rsidR="006F4A64" w:rsidRDefault="006F4A64" w:rsidP="006F4A64">
      <w:pPr>
        <w:pStyle w:val="Default"/>
        <w:jc w:val="both"/>
        <w:rPr>
          <w:rFonts w:eastAsia="Times New Roman"/>
          <w:sz w:val="20"/>
          <w:szCs w:val="20"/>
          <w:lang w:val="en-GB"/>
        </w:rPr>
      </w:pPr>
      <w:r w:rsidRPr="00FB049C">
        <w:rPr>
          <w:rFonts w:eastAsia="Times New Roman"/>
          <w:sz w:val="20"/>
          <w:szCs w:val="20"/>
          <w:u w:val="single"/>
          <w:lang w:val="en-GB"/>
        </w:rPr>
        <w:t>Sini</w:t>
      </w:r>
      <w:r w:rsidRPr="00FB049C">
        <w:rPr>
          <w:rFonts w:eastAsia="Times New Roman"/>
          <w:sz w:val="20"/>
          <w:szCs w:val="20"/>
          <w:u w:val="single"/>
          <w:lang w:val="bs-Latn-BA"/>
        </w:rPr>
        <w:t>štaj v. Montenegro</w:t>
      </w:r>
      <w:r>
        <w:rPr>
          <w:rFonts w:eastAsia="Times New Roman"/>
          <w:sz w:val="20"/>
          <w:szCs w:val="20"/>
          <w:lang w:val="bs-Latn-BA"/>
        </w:rPr>
        <w:t xml:space="preserve"> (</w:t>
      </w:r>
      <w:r w:rsidRPr="00FB049C">
        <w:rPr>
          <w:rFonts w:eastAsia="Times New Roman"/>
          <w:sz w:val="20"/>
          <w:szCs w:val="20"/>
          <w:lang w:val="bs-Latn-BA"/>
        </w:rPr>
        <w:t>31529/15</w:t>
      </w:r>
      <w:r>
        <w:rPr>
          <w:rFonts w:eastAsia="Times New Roman"/>
          <w:sz w:val="20"/>
          <w:szCs w:val="20"/>
          <w:lang w:val="bs-Latn-BA"/>
        </w:rPr>
        <w:t>)</w:t>
      </w:r>
      <w:r>
        <w:rPr>
          <w:rFonts w:eastAsia="Times New Roman"/>
          <w:sz w:val="20"/>
          <w:szCs w:val="20"/>
          <w:lang w:val="en-GB"/>
        </w:rPr>
        <w:t xml:space="preserve">: </w:t>
      </w:r>
      <w:r w:rsidRPr="00FB049C">
        <w:rPr>
          <w:rFonts w:eastAsia="Times New Roman"/>
          <w:sz w:val="20"/>
          <w:szCs w:val="20"/>
          <w:lang w:val="en-GB"/>
        </w:rPr>
        <w:t>concerns a violation of the applicant’s right to fair trial on account of excessive length of proceedings before the Constitutional Court.</w:t>
      </w:r>
    </w:p>
    <w:p w14:paraId="442AE3E0" w14:textId="77777777" w:rsidR="006F4A64" w:rsidRDefault="006F4A64" w:rsidP="006F4A64">
      <w:pPr>
        <w:pStyle w:val="Default"/>
        <w:jc w:val="both"/>
        <w:rPr>
          <w:rFonts w:eastAsia="Times New Roman"/>
          <w:sz w:val="20"/>
          <w:szCs w:val="20"/>
          <w:lang w:val="en-GB"/>
        </w:rPr>
      </w:pPr>
      <w:r>
        <w:rPr>
          <w:rFonts w:eastAsia="Times New Roman"/>
          <w:sz w:val="20"/>
          <w:szCs w:val="20"/>
          <w:lang w:val="en-GB"/>
        </w:rPr>
        <w:t xml:space="preserve">Presentation on </w:t>
      </w:r>
      <w:proofErr w:type="spellStart"/>
      <w:r>
        <w:rPr>
          <w:rFonts w:eastAsia="Times New Roman"/>
          <w:sz w:val="20"/>
          <w:szCs w:val="20"/>
          <w:lang w:val="en-GB"/>
        </w:rPr>
        <w:t>hudoc</w:t>
      </w:r>
      <w:proofErr w:type="spellEnd"/>
      <w:r>
        <w:rPr>
          <w:rFonts w:eastAsia="Times New Roman"/>
          <w:sz w:val="20"/>
          <w:szCs w:val="20"/>
          <w:lang w:val="en-GB"/>
        </w:rPr>
        <w:t xml:space="preserve"> exec: </w:t>
      </w:r>
      <w:hyperlink r:id="rId16" w:history="1">
        <w:r w:rsidRPr="00FB049C">
          <w:rPr>
            <w:rStyle w:val="Hyperlink"/>
            <w:rFonts w:eastAsia="Times New Roman"/>
            <w:sz w:val="20"/>
            <w:szCs w:val="20"/>
            <w:lang w:val="en-GB"/>
          </w:rPr>
          <w:t>Sini</w:t>
        </w:r>
        <w:r w:rsidRPr="00FB049C">
          <w:rPr>
            <w:rStyle w:val="Hyperlink"/>
            <w:rFonts w:eastAsia="Times New Roman"/>
            <w:sz w:val="20"/>
            <w:szCs w:val="20"/>
            <w:lang w:val="bs-Latn-BA"/>
          </w:rPr>
          <w:t>štaj</w:t>
        </w:r>
      </w:hyperlink>
    </w:p>
    <w:p w14:paraId="3C74EE0E" w14:textId="77777777" w:rsidR="006F4A64" w:rsidRDefault="006F4A64" w:rsidP="006F4A64">
      <w:pPr>
        <w:pStyle w:val="Default"/>
        <w:jc w:val="both"/>
        <w:rPr>
          <w:rFonts w:eastAsia="Times New Roman"/>
          <w:sz w:val="20"/>
          <w:szCs w:val="20"/>
          <w:lang w:val="en-GB"/>
        </w:rPr>
      </w:pPr>
      <w:r>
        <w:rPr>
          <w:rFonts w:eastAsia="Times New Roman"/>
          <w:sz w:val="20"/>
          <w:szCs w:val="20"/>
          <w:lang w:val="en-GB"/>
        </w:rPr>
        <w:t xml:space="preserve">Latest submissions: </w:t>
      </w:r>
      <w:hyperlink r:id="rId17" w:history="1">
        <w:r w:rsidRPr="00FB049C">
          <w:rPr>
            <w:rStyle w:val="Hyperlink"/>
            <w:rFonts w:eastAsia="Times New Roman"/>
            <w:sz w:val="20"/>
            <w:szCs w:val="20"/>
            <w:lang w:val="en-GB"/>
          </w:rPr>
          <w:t>DH-</w:t>
        </w:r>
        <w:proofErr w:type="gramStart"/>
        <w:r w:rsidRPr="00FB049C">
          <w:rPr>
            <w:rStyle w:val="Hyperlink"/>
            <w:rFonts w:eastAsia="Times New Roman"/>
            <w:sz w:val="20"/>
            <w:szCs w:val="20"/>
            <w:lang w:val="en-GB"/>
          </w:rPr>
          <w:t>DD(</w:t>
        </w:r>
        <w:proofErr w:type="gramEnd"/>
        <w:r w:rsidRPr="00FB049C">
          <w:rPr>
            <w:rStyle w:val="Hyperlink"/>
            <w:rFonts w:eastAsia="Times New Roman"/>
            <w:sz w:val="20"/>
            <w:szCs w:val="20"/>
            <w:lang w:val="en-GB"/>
          </w:rPr>
          <w:t>2024)1139</w:t>
        </w:r>
      </w:hyperlink>
    </w:p>
    <w:p w14:paraId="6CDD5537" w14:textId="77777777" w:rsidR="006F4A64" w:rsidRDefault="006F4A64" w:rsidP="006F4A64">
      <w:pPr>
        <w:pStyle w:val="Default"/>
        <w:jc w:val="both"/>
        <w:rPr>
          <w:rFonts w:eastAsia="Times New Roman"/>
          <w:sz w:val="20"/>
          <w:szCs w:val="20"/>
          <w:lang w:val="en-GB"/>
        </w:rPr>
      </w:pPr>
    </w:p>
    <w:p w14:paraId="021B1FC9" w14:textId="77777777" w:rsidR="006F4A64" w:rsidRDefault="006F4A64" w:rsidP="006F4A64">
      <w:pPr>
        <w:pStyle w:val="Default"/>
        <w:jc w:val="both"/>
        <w:rPr>
          <w:rFonts w:eastAsia="Times New Roman"/>
          <w:sz w:val="20"/>
          <w:szCs w:val="20"/>
          <w:lang w:val="en-GB"/>
        </w:rPr>
      </w:pPr>
      <w:proofErr w:type="spellStart"/>
      <w:r w:rsidRPr="00FB049C">
        <w:rPr>
          <w:rFonts w:eastAsia="Times New Roman"/>
          <w:sz w:val="20"/>
          <w:szCs w:val="20"/>
          <w:u w:val="single"/>
          <w:lang w:val="en-GB"/>
        </w:rPr>
        <w:t>Bagoje</w:t>
      </w:r>
      <w:proofErr w:type="spellEnd"/>
      <w:r w:rsidRPr="00FB049C">
        <w:rPr>
          <w:rFonts w:eastAsia="Times New Roman"/>
          <w:sz w:val="20"/>
          <w:szCs w:val="20"/>
          <w:u w:val="single"/>
          <w:lang w:val="en-GB"/>
        </w:rPr>
        <w:t xml:space="preserve"> v. Montenegro</w:t>
      </w:r>
      <w:r>
        <w:rPr>
          <w:rFonts w:eastAsia="Times New Roman"/>
          <w:sz w:val="20"/>
          <w:szCs w:val="20"/>
          <w:lang w:val="en-GB"/>
        </w:rPr>
        <w:t xml:space="preserve"> (</w:t>
      </w:r>
      <w:r w:rsidRPr="00FB049C">
        <w:rPr>
          <w:rFonts w:eastAsia="Times New Roman"/>
          <w:sz w:val="20"/>
          <w:szCs w:val="20"/>
          <w:lang w:val="en-GB"/>
        </w:rPr>
        <w:t>2890/21</w:t>
      </w:r>
      <w:r>
        <w:rPr>
          <w:rFonts w:eastAsia="Times New Roman"/>
          <w:sz w:val="20"/>
          <w:szCs w:val="20"/>
          <w:lang w:val="en-GB"/>
        </w:rPr>
        <w:t xml:space="preserve">): </w:t>
      </w:r>
      <w:r w:rsidRPr="00FB049C">
        <w:rPr>
          <w:rFonts w:eastAsia="Times New Roman"/>
          <w:sz w:val="20"/>
          <w:szCs w:val="20"/>
          <w:lang w:val="en-GB"/>
        </w:rPr>
        <w:t>concerns a violation of the right to fair trial due to the inconsistent practice of domestic courts in the period 2017-2020, in relation to civil proceedings the applicant had instituted against the State seeking compensation for non-pecuniary damage caused by ill-treatment he had suffered in 1991 during the war in the former Socialist Federal Republic of Yugoslavia.</w:t>
      </w:r>
    </w:p>
    <w:p w14:paraId="659F1EC9" w14:textId="77777777" w:rsidR="006F4A64" w:rsidRDefault="006F4A64" w:rsidP="006F4A64">
      <w:pPr>
        <w:pStyle w:val="Default"/>
        <w:jc w:val="both"/>
        <w:rPr>
          <w:rFonts w:eastAsia="Times New Roman"/>
          <w:sz w:val="20"/>
          <w:szCs w:val="20"/>
          <w:lang w:val="en-GB"/>
        </w:rPr>
      </w:pPr>
      <w:r>
        <w:rPr>
          <w:rFonts w:eastAsia="Times New Roman"/>
          <w:sz w:val="20"/>
          <w:szCs w:val="20"/>
          <w:lang w:val="en-GB"/>
        </w:rPr>
        <w:t xml:space="preserve">Presentation on </w:t>
      </w:r>
      <w:proofErr w:type="spellStart"/>
      <w:r>
        <w:rPr>
          <w:rFonts w:eastAsia="Times New Roman"/>
          <w:sz w:val="20"/>
          <w:szCs w:val="20"/>
          <w:lang w:val="en-GB"/>
        </w:rPr>
        <w:t>hudoc</w:t>
      </w:r>
      <w:proofErr w:type="spellEnd"/>
      <w:r>
        <w:rPr>
          <w:rFonts w:eastAsia="Times New Roman"/>
          <w:sz w:val="20"/>
          <w:szCs w:val="20"/>
          <w:lang w:val="en-GB"/>
        </w:rPr>
        <w:t xml:space="preserve"> exec: </w:t>
      </w:r>
      <w:hyperlink r:id="rId18" w:history="1">
        <w:proofErr w:type="spellStart"/>
        <w:r w:rsidRPr="00FB049C">
          <w:rPr>
            <w:rStyle w:val="Hyperlink"/>
            <w:rFonts w:eastAsia="Times New Roman"/>
            <w:sz w:val="20"/>
            <w:szCs w:val="20"/>
            <w:lang w:val="en-GB"/>
          </w:rPr>
          <w:t>Bagoje</w:t>
        </w:r>
        <w:proofErr w:type="spellEnd"/>
      </w:hyperlink>
    </w:p>
    <w:p w14:paraId="246CEAC7" w14:textId="77777777" w:rsidR="006F4A64" w:rsidRPr="00FB049C" w:rsidRDefault="006F4A64" w:rsidP="006F4A64">
      <w:pPr>
        <w:pStyle w:val="Default"/>
        <w:jc w:val="both"/>
        <w:rPr>
          <w:rFonts w:eastAsia="Times New Roman"/>
          <w:sz w:val="20"/>
          <w:szCs w:val="20"/>
          <w:lang w:val="en-GB"/>
        </w:rPr>
      </w:pPr>
      <w:r>
        <w:rPr>
          <w:rFonts w:eastAsia="Times New Roman"/>
          <w:sz w:val="20"/>
          <w:szCs w:val="20"/>
          <w:lang w:val="en-GB"/>
        </w:rPr>
        <w:t xml:space="preserve">Latest submissions: </w:t>
      </w:r>
      <w:hyperlink r:id="rId19" w:history="1">
        <w:r w:rsidRPr="00FB049C">
          <w:rPr>
            <w:rStyle w:val="Hyperlink"/>
            <w:rFonts w:eastAsia="Times New Roman"/>
            <w:sz w:val="20"/>
            <w:szCs w:val="20"/>
            <w:lang w:val="en-GB"/>
          </w:rPr>
          <w:t>DH-</w:t>
        </w:r>
        <w:proofErr w:type="gramStart"/>
        <w:r w:rsidRPr="00FB049C">
          <w:rPr>
            <w:rStyle w:val="Hyperlink"/>
            <w:rFonts w:eastAsia="Times New Roman"/>
            <w:sz w:val="20"/>
            <w:szCs w:val="20"/>
            <w:lang w:val="en-GB"/>
          </w:rPr>
          <w:t>DD(</w:t>
        </w:r>
        <w:proofErr w:type="gramEnd"/>
        <w:r w:rsidRPr="00FB049C">
          <w:rPr>
            <w:rStyle w:val="Hyperlink"/>
            <w:rFonts w:eastAsia="Times New Roman"/>
            <w:sz w:val="20"/>
            <w:szCs w:val="20"/>
            <w:lang w:val="en-GB"/>
          </w:rPr>
          <w:t>2024)866</w:t>
        </w:r>
      </w:hyperlink>
    </w:p>
    <w:p w14:paraId="79CA0E65" w14:textId="21896F83" w:rsidR="00370F09" w:rsidRDefault="00370F09" w:rsidP="00161282">
      <w:pPr>
        <w:shd w:val="clear" w:color="auto" w:fill="FFFFFF"/>
        <w:spacing w:before="100" w:beforeAutospacing="1" w:after="100" w:afterAutospacing="1"/>
        <w:rPr>
          <w:rFonts w:ascii="Calibri" w:eastAsiaTheme="minorHAnsi" w:hAnsi="Calibri" w:cs="Calibri"/>
          <w:color w:val="161616"/>
          <w:lang w:val="en-US"/>
          <w14:ligatures w14:val="standardContextual"/>
        </w:rPr>
      </w:pPr>
      <w:r>
        <w:rPr>
          <w:rFonts w:ascii="Calibri" w:eastAsiaTheme="minorHAnsi" w:hAnsi="Calibri" w:cs="Calibri"/>
          <w:color w:val="161616"/>
          <w:lang w:val="en-US"/>
          <w14:ligatures w14:val="standardContextual"/>
        </w:rPr>
        <w:t>Venice Commission</w:t>
      </w:r>
    </w:p>
    <w:p w14:paraId="6C972FE2" w14:textId="77777777" w:rsidR="00370F09" w:rsidRDefault="00370F09" w:rsidP="00370F09">
      <w:pPr>
        <w:pStyle w:val="Default"/>
        <w:jc w:val="both"/>
        <w:rPr>
          <w:color w:val="auto"/>
          <w:sz w:val="20"/>
          <w:szCs w:val="20"/>
          <w:lang w:val="en-US"/>
        </w:rPr>
      </w:pPr>
      <w:r>
        <w:fldChar w:fldCharType="begin"/>
      </w:r>
      <w:r w:rsidRPr="0015253B">
        <w:rPr>
          <w:lang w:val="en-GB"/>
          <w:rPrChange w:id="1" w:author="DANIELL Saskia" w:date="2025-01-31T13:04:00Z">
            <w:rPr/>
          </w:rPrChange>
        </w:rPr>
        <w:instrText>HYPERLINK "https://www.venice.coe.int/webforms/documents/default.aspx?pdffile=CDL-PI(2024)032-bil"</w:instrText>
      </w:r>
      <w:r>
        <w:fldChar w:fldCharType="separate"/>
      </w:r>
      <w:r w:rsidRPr="00DF6D88">
        <w:rPr>
          <w:rStyle w:val="Hyperlink"/>
          <w:sz w:val="20"/>
          <w:szCs w:val="20"/>
          <w:lang w:val="en-US"/>
        </w:rPr>
        <w:t>CDL-</w:t>
      </w:r>
      <w:proofErr w:type="gramStart"/>
      <w:r w:rsidRPr="00DF6D88">
        <w:rPr>
          <w:rStyle w:val="Hyperlink"/>
          <w:sz w:val="20"/>
          <w:szCs w:val="20"/>
          <w:lang w:val="en-US"/>
        </w:rPr>
        <w:t>PI(</w:t>
      </w:r>
      <w:proofErr w:type="gramEnd"/>
      <w:r w:rsidRPr="00DF6D88">
        <w:rPr>
          <w:rStyle w:val="Hyperlink"/>
          <w:sz w:val="20"/>
          <w:szCs w:val="20"/>
          <w:lang w:val="en-US"/>
        </w:rPr>
        <w:t>2024)032-bil</w:t>
      </w:r>
      <w:r>
        <w:rPr>
          <w:rStyle w:val="Hyperlink"/>
          <w:sz w:val="20"/>
          <w:szCs w:val="20"/>
          <w:lang w:val="en-US"/>
        </w:rPr>
        <w:fldChar w:fldCharType="end"/>
      </w:r>
      <w:r w:rsidRPr="00DF6D88">
        <w:rPr>
          <w:color w:val="auto"/>
          <w:sz w:val="20"/>
          <w:szCs w:val="20"/>
          <w:lang w:val="en-US"/>
        </w:rPr>
        <w:br/>
        <w:t>Information on the follow-up to the Urgent Follow-up Opinion on the revised draft amendments to the Law on the Judicial Council and Judges (CDL-AD(2024)012), presented at the 140th Plenary Session (Venice, 11-12 October 2024)</w:t>
      </w:r>
    </w:p>
    <w:p w14:paraId="7F14F0ED" w14:textId="77777777" w:rsidR="00370F09" w:rsidRDefault="00370F09" w:rsidP="00370F09">
      <w:pPr>
        <w:pStyle w:val="Default"/>
        <w:jc w:val="both"/>
        <w:rPr>
          <w:color w:val="auto"/>
          <w:sz w:val="20"/>
          <w:szCs w:val="20"/>
          <w:lang w:val="en-US"/>
        </w:rPr>
      </w:pPr>
    </w:p>
    <w:p w14:paraId="616BAFCD" w14:textId="77777777" w:rsidR="00370F09" w:rsidRPr="00A87A38" w:rsidRDefault="00370F09" w:rsidP="00370F09">
      <w:pPr>
        <w:pStyle w:val="Default"/>
        <w:jc w:val="both"/>
        <w:rPr>
          <w:color w:val="auto"/>
          <w:sz w:val="20"/>
          <w:szCs w:val="20"/>
          <w:lang w:val="en-US"/>
        </w:rPr>
      </w:pPr>
      <w:r>
        <w:fldChar w:fldCharType="begin"/>
      </w:r>
      <w:r w:rsidRPr="0015253B">
        <w:rPr>
          <w:lang w:val="en-GB"/>
          <w:rPrChange w:id="2" w:author="DANIELL Saskia" w:date="2025-01-31T13:04:00Z">
            <w:rPr/>
          </w:rPrChange>
        </w:rPr>
        <w:instrText>HYPERLINK "https://www.venice.coe.int/webforms/documents/default.aspx?pdffile=CDL-AD(2024)014-e"</w:instrText>
      </w:r>
      <w:r>
        <w:fldChar w:fldCharType="separate"/>
      </w:r>
      <w:r w:rsidRPr="00A87A38">
        <w:rPr>
          <w:rStyle w:val="Hyperlink"/>
          <w:sz w:val="20"/>
          <w:szCs w:val="20"/>
          <w:lang w:val="en-GB"/>
        </w:rPr>
        <w:t>CDL-</w:t>
      </w:r>
      <w:proofErr w:type="gramStart"/>
      <w:r w:rsidRPr="00A87A38">
        <w:rPr>
          <w:rStyle w:val="Hyperlink"/>
          <w:sz w:val="20"/>
          <w:szCs w:val="20"/>
          <w:lang w:val="en-GB"/>
        </w:rPr>
        <w:t>AD(</w:t>
      </w:r>
      <w:proofErr w:type="gramEnd"/>
      <w:r w:rsidRPr="00A87A38">
        <w:rPr>
          <w:rStyle w:val="Hyperlink"/>
          <w:sz w:val="20"/>
          <w:szCs w:val="20"/>
          <w:lang w:val="en-GB"/>
        </w:rPr>
        <w:t>2024)014-e</w:t>
      </w:r>
      <w:r>
        <w:rPr>
          <w:rStyle w:val="Hyperlink"/>
          <w:sz w:val="20"/>
          <w:szCs w:val="20"/>
          <w:lang w:val="en-GB"/>
        </w:rPr>
        <w:fldChar w:fldCharType="end"/>
      </w:r>
      <w:r w:rsidRPr="00A87A38">
        <w:rPr>
          <w:color w:val="auto"/>
          <w:sz w:val="20"/>
          <w:szCs w:val="20"/>
          <w:lang w:val="en-GB"/>
        </w:rPr>
        <w:br/>
        <w:t>Montenegro – Urgent Follow-up Opinion to the Opinions on the Law on the Special State Prosecutor's Office, issued on 16 May 2024 pursuant to Article 14a of the Venice Commission’s Revised Rules of Procedure, endorsed by the Venice Commission at its 139th Plenary Session (Venice, 21-22 June 2024)</w:t>
      </w:r>
    </w:p>
    <w:p w14:paraId="7B44477A" w14:textId="77777777" w:rsidR="00370F09" w:rsidRDefault="00370F09" w:rsidP="00370F09">
      <w:pPr>
        <w:pStyle w:val="ListParagraph"/>
        <w:ind w:left="0"/>
        <w:rPr>
          <w:lang w:val="en-GB"/>
        </w:rPr>
      </w:pPr>
    </w:p>
    <w:p w14:paraId="057704C4" w14:textId="77777777" w:rsidR="00370F09" w:rsidRDefault="00370F09" w:rsidP="00370F09">
      <w:pPr>
        <w:pStyle w:val="Default"/>
        <w:jc w:val="both"/>
        <w:rPr>
          <w:color w:val="auto"/>
          <w:sz w:val="20"/>
          <w:szCs w:val="20"/>
          <w:lang w:val="en-GB"/>
        </w:rPr>
      </w:pPr>
      <w:r>
        <w:fldChar w:fldCharType="begin"/>
      </w:r>
      <w:r w:rsidRPr="0015253B">
        <w:rPr>
          <w:lang w:val="en-GB"/>
          <w:rPrChange w:id="3" w:author="DANIELL Saskia" w:date="2025-01-31T13:04:00Z">
            <w:rPr/>
          </w:rPrChange>
        </w:rPr>
        <w:instrText>HYPERLINK "https://www.venice.coe.int/webforms/documents/default.aspx?pdffile=CDL-AD(2024)013-e"</w:instrText>
      </w:r>
      <w:r>
        <w:fldChar w:fldCharType="separate"/>
      </w:r>
      <w:r w:rsidRPr="00A87A38">
        <w:rPr>
          <w:rStyle w:val="Hyperlink"/>
          <w:sz w:val="20"/>
          <w:szCs w:val="20"/>
          <w:lang w:val="en-GB"/>
        </w:rPr>
        <w:t>CDL-</w:t>
      </w:r>
      <w:proofErr w:type="gramStart"/>
      <w:r w:rsidRPr="00A87A38">
        <w:rPr>
          <w:rStyle w:val="Hyperlink"/>
          <w:sz w:val="20"/>
          <w:szCs w:val="20"/>
          <w:lang w:val="en-GB"/>
        </w:rPr>
        <w:t>AD(</w:t>
      </w:r>
      <w:proofErr w:type="gramEnd"/>
      <w:r w:rsidRPr="00A87A38">
        <w:rPr>
          <w:rStyle w:val="Hyperlink"/>
          <w:sz w:val="20"/>
          <w:szCs w:val="20"/>
          <w:lang w:val="en-GB"/>
        </w:rPr>
        <w:t>2024)013-e</w:t>
      </w:r>
      <w:r>
        <w:rPr>
          <w:rStyle w:val="Hyperlink"/>
          <w:sz w:val="20"/>
          <w:szCs w:val="20"/>
          <w:lang w:val="en-GB"/>
        </w:rPr>
        <w:fldChar w:fldCharType="end"/>
      </w:r>
      <w:r w:rsidRPr="00A87A38">
        <w:rPr>
          <w:color w:val="auto"/>
          <w:sz w:val="20"/>
          <w:szCs w:val="20"/>
          <w:lang w:val="en-GB"/>
        </w:rPr>
        <w:br/>
        <w:t>Montenegro – Urgent Follow-up Opinion to the Opinions on the Law on the State Prosecution Service, issued on 16 May 2024 pursuant to Article 14a of the Venice Commission’s Revised Rules of Procedure, endorsed by the Venice Commission at its 139th Plenary Session (Venice, 21-22 June 2024)</w:t>
      </w:r>
    </w:p>
    <w:p w14:paraId="41FE86FB" w14:textId="77777777" w:rsidR="00370F09" w:rsidRDefault="00370F09" w:rsidP="00370F09">
      <w:pPr>
        <w:pStyle w:val="Default"/>
        <w:jc w:val="both"/>
        <w:rPr>
          <w:color w:val="auto"/>
          <w:sz w:val="20"/>
          <w:szCs w:val="20"/>
          <w:lang w:val="en-GB"/>
        </w:rPr>
      </w:pPr>
    </w:p>
    <w:p w14:paraId="5C8D125D" w14:textId="77777777" w:rsidR="00370F09" w:rsidRPr="00A87A38" w:rsidRDefault="00370F09" w:rsidP="00370F09">
      <w:pPr>
        <w:pStyle w:val="Default"/>
        <w:jc w:val="both"/>
        <w:rPr>
          <w:color w:val="auto"/>
          <w:sz w:val="20"/>
          <w:szCs w:val="20"/>
          <w:lang w:val="en-GB"/>
        </w:rPr>
      </w:pPr>
      <w:r>
        <w:fldChar w:fldCharType="begin"/>
      </w:r>
      <w:r w:rsidRPr="0015253B">
        <w:rPr>
          <w:lang w:val="en-GB"/>
          <w:rPrChange w:id="4" w:author="DANIELL Saskia" w:date="2025-01-31T13:04:00Z">
            <w:rPr/>
          </w:rPrChange>
        </w:rPr>
        <w:instrText>HYPERLINK "https://www.venice.coe.int/webforms/documents/default.aspx?pdffile=CDL-AD(2024)012-e"</w:instrText>
      </w:r>
      <w:r>
        <w:fldChar w:fldCharType="separate"/>
      </w:r>
      <w:r w:rsidRPr="00A87A38">
        <w:rPr>
          <w:rStyle w:val="Hyperlink"/>
          <w:sz w:val="20"/>
          <w:szCs w:val="20"/>
          <w:lang w:val="en-GB"/>
        </w:rPr>
        <w:t>CDL-</w:t>
      </w:r>
      <w:proofErr w:type="gramStart"/>
      <w:r w:rsidRPr="00A87A38">
        <w:rPr>
          <w:rStyle w:val="Hyperlink"/>
          <w:sz w:val="20"/>
          <w:szCs w:val="20"/>
          <w:lang w:val="en-GB"/>
        </w:rPr>
        <w:t>AD(</w:t>
      </w:r>
      <w:proofErr w:type="gramEnd"/>
      <w:r w:rsidRPr="00A87A38">
        <w:rPr>
          <w:rStyle w:val="Hyperlink"/>
          <w:sz w:val="20"/>
          <w:szCs w:val="20"/>
          <w:lang w:val="en-GB"/>
        </w:rPr>
        <w:t>2024)012-e</w:t>
      </w:r>
      <w:r>
        <w:rPr>
          <w:rStyle w:val="Hyperlink"/>
          <w:sz w:val="20"/>
          <w:szCs w:val="20"/>
          <w:lang w:val="en-GB"/>
        </w:rPr>
        <w:fldChar w:fldCharType="end"/>
      </w:r>
      <w:r w:rsidRPr="00A87A38">
        <w:rPr>
          <w:color w:val="auto"/>
          <w:sz w:val="20"/>
          <w:szCs w:val="20"/>
          <w:lang w:val="en-GB"/>
        </w:rPr>
        <w:br/>
        <w:t>Montenegro – Urgent Follow-up Opinion on the revised draft amendments to the Law on the Judicial Council and Judges, issued on 6 May 2024 pursuant to Article 14a of the Venice Commission’s Revised Rules of Procedure, endorsed by the Venice Commission at its 139th Plenary Session (Venice, 21-22 June 2024)</w:t>
      </w:r>
    </w:p>
    <w:p w14:paraId="2B06690E" w14:textId="77777777" w:rsidR="00370F09" w:rsidRDefault="00370F09" w:rsidP="00370F09">
      <w:pPr>
        <w:pStyle w:val="ListParagraph"/>
        <w:ind w:left="0"/>
        <w:rPr>
          <w:lang w:val="en-GB"/>
        </w:rPr>
      </w:pPr>
    </w:p>
    <w:p w14:paraId="2FF90DD0" w14:textId="77777777" w:rsidR="00370F09" w:rsidRPr="007723E7" w:rsidRDefault="00370F09" w:rsidP="00370F09">
      <w:pPr>
        <w:pStyle w:val="Default"/>
        <w:jc w:val="both"/>
        <w:rPr>
          <w:color w:val="auto"/>
          <w:sz w:val="20"/>
          <w:szCs w:val="20"/>
          <w:lang w:val="en-US"/>
        </w:rPr>
      </w:pPr>
      <w:r>
        <w:fldChar w:fldCharType="begin"/>
      </w:r>
      <w:r w:rsidRPr="0015253B">
        <w:rPr>
          <w:lang w:val="en-GB"/>
          <w:rPrChange w:id="5" w:author="DANIELL Saskia" w:date="2025-01-31T13:04:00Z">
            <w:rPr/>
          </w:rPrChange>
        </w:rPr>
        <w:instrText>HYPERLINK "https://www.venice.coe.int/webforms/documents/default.aspx?pdffile=CDL-PI(2024)012-e"</w:instrText>
      </w:r>
      <w:r>
        <w:fldChar w:fldCharType="separate"/>
      </w:r>
      <w:r w:rsidRPr="00A2054F">
        <w:rPr>
          <w:rStyle w:val="Hyperlink"/>
          <w:sz w:val="20"/>
          <w:szCs w:val="20"/>
          <w:lang w:val="en-GB"/>
        </w:rPr>
        <w:t>CDL-</w:t>
      </w:r>
      <w:proofErr w:type="gramStart"/>
      <w:r w:rsidRPr="00A2054F">
        <w:rPr>
          <w:rStyle w:val="Hyperlink"/>
          <w:sz w:val="20"/>
          <w:szCs w:val="20"/>
          <w:lang w:val="en-GB"/>
        </w:rPr>
        <w:t>PI(</w:t>
      </w:r>
      <w:proofErr w:type="gramEnd"/>
      <w:r w:rsidRPr="00A2054F">
        <w:rPr>
          <w:rStyle w:val="Hyperlink"/>
          <w:sz w:val="20"/>
          <w:szCs w:val="20"/>
          <w:lang w:val="en-GB"/>
        </w:rPr>
        <w:t>2024)012-e</w:t>
      </w:r>
      <w:r>
        <w:rPr>
          <w:rStyle w:val="Hyperlink"/>
          <w:sz w:val="20"/>
          <w:szCs w:val="20"/>
          <w:lang w:val="en-GB"/>
        </w:rPr>
        <w:fldChar w:fldCharType="end"/>
      </w:r>
      <w:r w:rsidRPr="00A2054F">
        <w:rPr>
          <w:color w:val="auto"/>
          <w:sz w:val="20"/>
          <w:szCs w:val="20"/>
          <w:lang w:val="en-GB"/>
        </w:rPr>
        <w:br/>
      </w:r>
      <w:r w:rsidRPr="00A87A38">
        <w:rPr>
          <w:color w:val="auto"/>
          <w:sz w:val="20"/>
          <w:szCs w:val="20"/>
          <w:lang w:val="en-GB"/>
        </w:rPr>
        <w:t>Montenegro –</w:t>
      </w:r>
      <w:r>
        <w:rPr>
          <w:color w:val="auto"/>
          <w:sz w:val="20"/>
          <w:szCs w:val="20"/>
          <w:lang w:val="en-GB"/>
        </w:rPr>
        <w:t xml:space="preserve"> </w:t>
      </w:r>
      <w:r w:rsidRPr="00A2054F">
        <w:rPr>
          <w:color w:val="auto"/>
          <w:sz w:val="20"/>
          <w:szCs w:val="20"/>
          <w:lang w:val="en-GB"/>
        </w:rPr>
        <w:t>Urgent Follow-up Opinion to the Opinions on the Law on the State Prosecution Service</w:t>
      </w:r>
    </w:p>
    <w:p w14:paraId="0093A23C" w14:textId="77777777" w:rsidR="00370F09" w:rsidRDefault="00370F09" w:rsidP="00370F09">
      <w:pPr>
        <w:pStyle w:val="ListParagraph"/>
        <w:ind w:left="0"/>
        <w:rPr>
          <w:lang w:val="en-US"/>
        </w:rPr>
      </w:pPr>
    </w:p>
    <w:p w14:paraId="3AC377B8" w14:textId="77777777" w:rsidR="00370F09" w:rsidRPr="007723E7" w:rsidRDefault="00370F09" w:rsidP="00370F09">
      <w:pPr>
        <w:pStyle w:val="Default"/>
        <w:jc w:val="both"/>
        <w:rPr>
          <w:color w:val="auto"/>
          <w:sz w:val="20"/>
          <w:szCs w:val="20"/>
          <w:lang w:val="en-US"/>
        </w:rPr>
      </w:pPr>
      <w:r>
        <w:fldChar w:fldCharType="begin"/>
      </w:r>
      <w:r w:rsidRPr="0015253B">
        <w:rPr>
          <w:lang w:val="en-GB"/>
          <w:rPrChange w:id="6" w:author="DANIELL Saskia" w:date="2025-01-31T13:04:00Z">
            <w:rPr/>
          </w:rPrChange>
        </w:rPr>
        <w:instrText>HYPERLINK "https://www.venice.coe.int/webforms/documents/default.aspx?pdffile=CDL-PI(2024)011-e"</w:instrText>
      </w:r>
      <w:r>
        <w:fldChar w:fldCharType="separate"/>
      </w:r>
      <w:r w:rsidRPr="007723E7">
        <w:rPr>
          <w:rStyle w:val="Hyperlink"/>
          <w:sz w:val="20"/>
          <w:szCs w:val="20"/>
          <w:lang w:val="en-GB"/>
        </w:rPr>
        <w:t>CDL-</w:t>
      </w:r>
      <w:proofErr w:type="gramStart"/>
      <w:r w:rsidRPr="007723E7">
        <w:rPr>
          <w:rStyle w:val="Hyperlink"/>
          <w:sz w:val="20"/>
          <w:szCs w:val="20"/>
          <w:lang w:val="en-GB"/>
        </w:rPr>
        <w:t>PI(</w:t>
      </w:r>
      <w:proofErr w:type="gramEnd"/>
      <w:r w:rsidRPr="007723E7">
        <w:rPr>
          <w:rStyle w:val="Hyperlink"/>
          <w:sz w:val="20"/>
          <w:szCs w:val="20"/>
          <w:lang w:val="en-GB"/>
        </w:rPr>
        <w:t>2024)011-e</w:t>
      </w:r>
      <w:r>
        <w:rPr>
          <w:rStyle w:val="Hyperlink"/>
          <w:sz w:val="20"/>
          <w:szCs w:val="20"/>
          <w:lang w:val="en-GB"/>
        </w:rPr>
        <w:fldChar w:fldCharType="end"/>
      </w:r>
      <w:r w:rsidRPr="007723E7">
        <w:rPr>
          <w:color w:val="auto"/>
          <w:sz w:val="20"/>
          <w:szCs w:val="20"/>
          <w:lang w:val="en-GB"/>
        </w:rPr>
        <w:br/>
      </w:r>
      <w:r w:rsidRPr="00A87A38">
        <w:rPr>
          <w:color w:val="auto"/>
          <w:sz w:val="20"/>
          <w:szCs w:val="20"/>
          <w:lang w:val="en-GB"/>
        </w:rPr>
        <w:t>Montenegro –</w:t>
      </w:r>
      <w:r>
        <w:rPr>
          <w:color w:val="auto"/>
          <w:sz w:val="20"/>
          <w:szCs w:val="20"/>
          <w:lang w:val="en-GB"/>
        </w:rPr>
        <w:t xml:space="preserve"> </w:t>
      </w:r>
      <w:r w:rsidRPr="007723E7">
        <w:rPr>
          <w:color w:val="auto"/>
          <w:sz w:val="20"/>
          <w:szCs w:val="20"/>
          <w:lang w:val="en-GB"/>
        </w:rPr>
        <w:t>Urgent Follow-up Opinion to the Opinions on the Law on the Special State Prosecutor's Office</w:t>
      </w:r>
    </w:p>
    <w:p w14:paraId="77D48FDB" w14:textId="77777777" w:rsidR="00370F09" w:rsidRDefault="00370F09" w:rsidP="00370F09">
      <w:pPr>
        <w:pStyle w:val="ListParagraph"/>
        <w:ind w:left="0"/>
        <w:rPr>
          <w:lang w:val="en-US"/>
        </w:rPr>
      </w:pPr>
    </w:p>
    <w:p w14:paraId="309FAAD6" w14:textId="77777777" w:rsidR="00370F09" w:rsidRPr="00BD569A" w:rsidRDefault="00370F09" w:rsidP="00370F09">
      <w:pPr>
        <w:pStyle w:val="Default"/>
        <w:jc w:val="both"/>
        <w:rPr>
          <w:color w:val="auto"/>
          <w:sz w:val="20"/>
          <w:szCs w:val="20"/>
          <w:lang w:val="en-US"/>
        </w:rPr>
      </w:pPr>
      <w:r>
        <w:fldChar w:fldCharType="begin"/>
      </w:r>
      <w:r w:rsidRPr="0015253B">
        <w:rPr>
          <w:lang w:val="en-GB"/>
          <w:rPrChange w:id="7" w:author="DANIELL Saskia" w:date="2025-01-31T13:04:00Z">
            <w:rPr/>
          </w:rPrChange>
        </w:rPr>
        <w:instrText>HYPERLINK "https://www.venice.coe.int/webforms/documents/default.aspx?pdffile=CDL-PI(2024)010-e"</w:instrText>
      </w:r>
      <w:r>
        <w:fldChar w:fldCharType="separate"/>
      </w:r>
      <w:r w:rsidRPr="007723E7">
        <w:rPr>
          <w:rStyle w:val="Hyperlink"/>
          <w:sz w:val="20"/>
          <w:szCs w:val="20"/>
          <w:lang w:val="en-GB"/>
        </w:rPr>
        <w:t>CDL-</w:t>
      </w:r>
      <w:proofErr w:type="gramStart"/>
      <w:r w:rsidRPr="007723E7">
        <w:rPr>
          <w:rStyle w:val="Hyperlink"/>
          <w:sz w:val="20"/>
          <w:szCs w:val="20"/>
          <w:lang w:val="en-GB"/>
        </w:rPr>
        <w:t>PI(</w:t>
      </w:r>
      <w:proofErr w:type="gramEnd"/>
      <w:r w:rsidRPr="007723E7">
        <w:rPr>
          <w:rStyle w:val="Hyperlink"/>
          <w:sz w:val="20"/>
          <w:szCs w:val="20"/>
          <w:lang w:val="en-GB"/>
        </w:rPr>
        <w:t>2024)010-e</w:t>
      </w:r>
      <w:r>
        <w:rPr>
          <w:rStyle w:val="Hyperlink"/>
          <w:sz w:val="20"/>
          <w:szCs w:val="20"/>
          <w:lang w:val="en-GB"/>
        </w:rPr>
        <w:fldChar w:fldCharType="end"/>
      </w:r>
      <w:r w:rsidRPr="007723E7">
        <w:rPr>
          <w:color w:val="auto"/>
          <w:sz w:val="20"/>
          <w:szCs w:val="20"/>
          <w:lang w:val="en-GB"/>
        </w:rPr>
        <w:br/>
      </w:r>
      <w:r w:rsidRPr="00A87A38">
        <w:rPr>
          <w:color w:val="auto"/>
          <w:sz w:val="20"/>
          <w:szCs w:val="20"/>
          <w:lang w:val="en-GB"/>
        </w:rPr>
        <w:t>Montenegro –</w:t>
      </w:r>
      <w:r>
        <w:rPr>
          <w:color w:val="auto"/>
          <w:sz w:val="20"/>
          <w:szCs w:val="20"/>
          <w:lang w:val="en-GB"/>
        </w:rPr>
        <w:t xml:space="preserve"> </w:t>
      </w:r>
      <w:r w:rsidRPr="007723E7">
        <w:rPr>
          <w:color w:val="auto"/>
          <w:sz w:val="20"/>
          <w:szCs w:val="20"/>
          <w:lang w:val="en-GB"/>
        </w:rPr>
        <w:t>Urgent Opinion on the draft amendments to the Law on Seizure and Confiscation of Material Benefit Derived from Criminal Activity</w:t>
      </w:r>
    </w:p>
    <w:p w14:paraId="7869AB55" w14:textId="77777777" w:rsidR="00370F09" w:rsidRDefault="00370F09" w:rsidP="00370F09">
      <w:pPr>
        <w:pStyle w:val="ListParagraph"/>
        <w:ind w:left="0"/>
        <w:rPr>
          <w:lang w:val="en-US"/>
        </w:rPr>
      </w:pPr>
    </w:p>
    <w:p w14:paraId="08DEC2AF" w14:textId="77777777" w:rsidR="00370F09" w:rsidRDefault="00370F09" w:rsidP="00370F09">
      <w:pPr>
        <w:pStyle w:val="Default"/>
        <w:jc w:val="both"/>
        <w:rPr>
          <w:color w:val="auto"/>
          <w:sz w:val="20"/>
          <w:szCs w:val="20"/>
          <w:lang w:val="en-US"/>
        </w:rPr>
      </w:pPr>
      <w:r>
        <w:fldChar w:fldCharType="begin"/>
      </w:r>
      <w:r w:rsidRPr="0015253B">
        <w:rPr>
          <w:lang w:val="en-GB"/>
          <w:rPrChange w:id="8" w:author="DANIELL Saskia" w:date="2025-01-31T13:04:00Z">
            <w:rPr/>
          </w:rPrChange>
        </w:rPr>
        <w:instrText>HYPERLINK "https://www.venice.coe.int/webforms/documents/default.aspx?pdffile=CDL-PI(2024)007-e"</w:instrText>
      </w:r>
      <w:r>
        <w:fldChar w:fldCharType="separate"/>
      </w:r>
      <w:r w:rsidRPr="00BD569A">
        <w:rPr>
          <w:rStyle w:val="Hyperlink"/>
          <w:sz w:val="20"/>
          <w:szCs w:val="20"/>
          <w:lang w:val="en-GB"/>
        </w:rPr>
        <w:t>CDL-</w:t>
      </w:r>
      <w:proofErr w:type="gramStart"/>
      <w:r w:rsidRPr="00BD569A">
        <w:rPr>
          <w:rStyle w:val="Hyperlink"/>
          <w:sz w:val="20"/>
          <w:szCs w:val="20"/>
          <w:lang w:val="en-GB"/>
        </w:rPr>
        <w:t>PI(</w:t>
      </w:r>
      <w:proofErr w:type="gramEnd"/>
      <w:r w:rsidRPr="00BD569A">
        <w:rPr>
          <w:rStyle w:val="Hyperlink"/>
          <w:sz w:val="20"/>
          <w:szCs w:val="20"/>
          <w:lang w:val="en-GB"/>
        </w:rPr>
        <w:t>2024)007-e</w:t>
      </w:r>
      <w:r>
        <w:rPr>
          <w:rStyle w:val="Hyperlink"/>
          <w:sz w:val="20"/>
          <w:szCs w:val="20"/>
          <w:lang w:val="en-GB"/>
        </w:rPr>
        <w:fldChar w:fldCharType="end"/>
      </w:r>
      <w:r w:rsidRPr="00BD569A">
        <w:rPr>
          <w:color w:val="auto"/>
          <w:sz w:val="20"/>
          <w:szCs w:val="20"/>
          <w:lang w:val="en-GB"/>
        </w:rPr>
        <w:br/>
      </w:r>
      <w:r w:rsidRPr="00A87A38">
        <w:rPr>
          <w:color w:val="auto"/>
          <w:sz w:val="20"/>
          <w:szCs w:val="20"/>
          <w:lang w:val="en-GB"/>
        </w:rPr>
        <w:t>Montenegro –</w:t>
      </w:r>
      <w:r>
        <w:rPr>
          <w:color w:val="auto"/>
          <w:sz w:val="20"/>
          <w:szCs w:val="20"/>
          <w:lang w:val="en-GB"/>
        </w:rPr>
        <w:t xml:space="preserve"> </w:t>
      </w:r>
      <w:r w:rsidRPr="00BD569A">
        <w:rPr>
          <w:color w:val="auto"/>
          <w:sz w:val="20"/>
          <w:szCs w:val="20"/>
          <w:lang w:val="en-GB"/>
        </w:rPr>
        <w:t>Urgent Follow-up Opinion on the revised draft amendments to the Law on the Judicial Council and Judges</w:t>
      </w:r>
    </w:p>
    <w:p w14:paraId="5FF874BB" w14:textId="77777777" w:rsidR="00370F09" w:rsidRPr="00161282" w:rsidRDefault="00370F09" w:rsidP="00161282">
      <w:pPr>
        <w:shd w:val="clear" w:color="auto" w:fill="FFFFFF"/>
        <w:spacing w:before="100" w:beforeAutospacing="1" w:after="100" w:afterAutospacing="1"/>
        <w:rPr>
          <w:rFonts w:ascii="Calibri" w:eastAsiaTheme="minorHAnsi" w:hAnsi="Calibri" w:cs="Calibri"/>
          <w:color w:val="161616"/>
          <w:lang w:val="en-US"/>
          <w14:ligatures w14:val="standardContextual"/>
        </w:rPr>
      </w:pPr>
    </w:p>
    <w:p w14:paraId="0401DDCD" w14:textId="77777777" w:rsidR="002207AC" w:rsidRDefault="002207AC" w:rsidP="002207AC">
      <w:pPr>
        <w:keepNext/>
        <w:spacing w:before="320"/>
        <w:outlineLvl w:val="0"/>
        <w:rPr>
          <w:rFonts w:ascii="Calibri Light" w:eastAsia="Times New Roman" w:hAnsi="Calibri Light" w:cs="Calibri Light"/>
          <w:color w:val="2F5496"/>
          <w:kern w:val="36"/>
          <w:sz w:val="32"/>
          <w:szCs w:val="32"/>
          <w:lang w:val="en-US"/>
        </w:rPr>
      </w:pPr>
      <w:bookmarkStart w:id="9" w:name="_Toc36635832"/>
      <w:r w:rsidRPr="002207AC">
        <w:rPr>
          <w:rFonts w:ascii="Calibri Light" w:eastAsia="Times New Roman" w:hAnsi="Calibri Light" w:cs="Calibri Light"/>
          <w:color w:val="2F5496"/>
          <w:kern w:val="36"/>
          <w:sz w:val="32"/>
          <w:szCs w:val="32"/>
          <w:lang w:val="en-US"/>
        </w:rPr>
        <w:lastRenderedPageBreak/>
        <w:t>II Anti-corruption framework</w:t>
      </w:r>
      <w:bookmarkEnd w:id="9"/>
      <w:r w:rsidRPr="002207AC">
        <w:rPr>
          <w:rFonts w:ascii="Calibri Light" w:eastAsia="Times New Roman" w:hAnsi="Calibri Light" w:cs="Calibri Light"/>
          <w:color w:val="2F5496"/>
          <w:kern w:val="36"/>
          <w:sz w:val="32"/>
          <w:szCs w:val="32"/>
          <w:lang w:val="en-US"/>
        </w:rPr>
        <w:t xml:space="preserve"> </w:t>
      </w:r>
    </w:p>
    <w:p w14:paraId="766AA643" w14:textId="77777777" w:rsidR="00B65730" w:rsidRPr="002207AC" w:rsidRDefault="00B65730" w:rsidP="002207AC">
      <w:pPr>
        <w:keepNext/>
        <w:spacing w:before="320"/>
        <w:outlineLvl w:val="0"/>
        <w:rPr>
          <w:rFonts w:ascii="Calibri Light" w:eastAsia="Times New Roman" w:hAnsi="Calibri Light" w:cs="Calibri Light"/>
          <w:color w:val="2F5496"/>
          <w:kern w:val="36"/>
          <w:sz w:val="32"/>
          <w:szCs w:val="32"/>
          <w:lang w:val="en-US"/>
        </w:rPr>
      </w:pPr>
    </w:p>
    <w:p w14:paraId="78CBED00" w14:textId="77777777" w:rsidR="00B65730" w:rsidRDefault="00B65730" w:rsidP="00B65730">
      <w:pPr>
        <w:rPr>
          <w:lang w:val="en-US"/>
        </w:rPr>
      </w:pPr>
      <w:r>
        <w:rPr>
          <w:lang w:val="en-US"/>
        </w:rPr>
        <w:t>GRECO (8 August 2024)</w:t>
      </w:r>
    </w:p>
    <w:p w14:paraId="425003EC" w14:textId="77777777" w:rsidR="00B65730" w:rsidRDefault="00000000" w:rsidP="00B65730">
      <w:pPr>
        <w:rPr>
          <w:lang w:val="en-US"/>
        </w:rPr>
      </w:pPr>
      <w:hyperlink r:id="rId20" w:history="1">
        <w:r w:rsidR="00B65730" w:rsidRPr="00F5632A">
          <w:rPr>
            <w:rStyle w:val="Hyperlink"/>
            <w:lang w:val="en-US"/>
          </w:rPr>
          <w:t>Compliance Report</w:t>
        </w:r>
      </w:hyperlink>
    </w:p>
    <w:p w14:paraId="12B3565E" w14:textId="77777777" w:rsidR="00B65730" w:rsidRDefault="00B65730" w:rsidP="00B65730">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512E10A0" w14:textId="77777777" w:rsidR="00F10A96" w:rsidRDefault="00F10A96" w:rsidP="00B65730">
      <w:pPr>
        <w:rPr>
          <w:lang w:val="en-GB"/>
        </w:rPr>
      </w:pPr>
    </w:p>
    <w:p w14:paraId="1F493C1C" w14:textId="77777777" w:rsidR="00F10A96" w:rsidRDefault="00F10A96" w:rsidP="00B65730">
      <w:pPr>
        <w:rPr>
          <w:lang w:val="en-GB"/>
        </w:rPr>
      </w:pPr>
    </w:p>
    <w:p w14:paraId="5AADE0F9" w14:textId="77777777" w:rsidR="00F10A96" w:rsidRDefault="00F10A96" w:rsidP="00B65730">
      <w:pPr>
        <w:rPr>
          <w:lang w:val="en-GB"/>
        </w:rPr>
      </w:pPr>
    </w:p>
    <w:p w14:paraId="25E54ED5" w14:textId="77777777" w:rsidR="00F10A96" w:rsidRDefault="00F10A96" w:rsidP="00F10A96">
      <w:pPr>
        <w:pStyle w:val="NoSpacing"/>
        <w:rPr>
          <w:rFonts w:ascii="Calibri" w:hAnsi="Calibri" w:cs="Calibri"/>
          <w:color w:val="161616"/>
          <w:lang w:val="en-GB"/>
        </w:rPr>
      </w:pPr>
      <w:r w:rsidRPr="00260C0B">
        <w:rPr>
          <w:rFonts w:ascii="Calibri" w:hAnsi="Calibri" w:cs="Calibri"/>
          <w:color w:val="161616"/>
          <w:lang w:val="en-GB"/>
        </w:rPr>
        <w:t>MONEYVAL</w:t>
      </w:r>
    </w:p>
    <w:p w14:paraId="690DF5FA" w14:textId="77777777" w:rsidR="00F10A96" w:rsidRDefault="00000000" w:rsidP="00F10A96">
      <w:pPr>
        <w:pStyle w:val="NoSpacing"/>
        <w:rPr>
          <w:rFonts w:ascii="Calibri" w:hAnsi="Calibri" w:cs="Calibri"/>
          <w:color w:val="161616"/>
          <w:lang w:val="en-GB"/>
        </w:rPr>
      </w:pPr>
      <w:hyperlink r:id="rId21" w:history="1">
        <w:r w:rsidR="00F10A96" w:rsidRPr="00260C0B">
          <w:rPr>
            <w:rStyle w:val="Hyperlink"/>
            <w:rFonts w:ascii="Calibri" w:hAnsi="Calibri" w:cs="Calibri"/>
            <w:lang w:val="en-GB"/>
          </w:rPr>
          <w:t>5</w:t>
        </w:r>
        <w:r w:rsidR="00F10A96" w:rsidRPr="00260C0B">
          <w:rPr>
            <w:rStyle w:val="Hyperlink"/>
            <w:rFonts w:ascii="Calibri" w:hAnsi="Calibri" w:cs="Calibri"/>
            <w:vertAlign w:val="superscript"/>
            <w:lang w:val="en-GB"/>
          </w:rPr>
          <w:t>th</w:t>
        </w:r>
        <w:r w:rsidR="00F10A96" w:rsidRPr="00260C0B">
          <w:rPr>
            <w:rStyle w:val="Hyperlink"/>
            <w:rFonts w:ascii="Calibri" w:hAnsi="Calibri" w:cs="Calibri"/>
            <w:lang w:val="en-GB"/>
          </w:rPr>
          <w:t xml:space="preserve"> Round Mutual Evaluation Report</w:t>
        </w:r>
      </w:hyperlink>
      <w:r w:rsidR="00F10A96">
        <w:rPr>
          <w:rFonts w:ascii="Calibri" w:hAnsi="Calibri" w:cs="Calibri"/>
          <w:color w:val="161616"/>
          <w:lang w:val="en-GB"/>
        </w:rPr>
        <w:t xml:space="preserve"> (December 2023)</w:t>
      </w:r>
    </w:p>
    <w:p w14:paraId="57A2654A" w14:textId="77777777" w:rsidR="00F10A96" w:rsidRDefault="00F10A96" w:rsidP="00F10A96">
      <w:pPr>
        <w:pStyle w:val="NoSpacing"/>
        <w:rPr>
          <w:rFonts w:ascii="Calibri" w:hAnsi="Calibri" w:cs="Calibri"/>
          <w:color w:val="161616"/>
          <w:lang w:val="en-GB"/>
        </w:rPr>
      </w:pPr>
    </w:p>
    <w:p w14:paraId="0C14B030" w14:textId="77777777" w:rsidR="00F10A96" w:rsidRDefault="00F10A96" w:rsidP="00F10A96">
      <w:pPr>
        <w:pStyle w:val="NoSpacing"/>
        <w:rPr>
          <w:rFonts w:ascii="Calibri" w:hAnsi="Calibri" w:cs="Calibri"/>
          <w:color w:val="161616"/>
          <w:lang w:val="en-GB"/>
        </w:rPr>
      </w:pPr>
      <w:r>
        <w:rPr>
          <w:rFonts w:ascii="Calibri" w:hAnsi="Calibri" w:cs="Calibri"/>
          <w:color w:val="161616"/>
          <w:lang w:val="en-GB"/>
        </w:rPr>
        <w:t xml:space="preserve">COP 198 </w:t>
      </w:r>
    </w:p>
    <w:p w14:paraId="10B7CEEC" w14:textId="77777777" w:rsidR="00F10A96" w:rsidRDefault="00000000" w:rsidP="00F10A96">
      <w:pPr>
        <w:pStyle w:val="NoSpacing"/>
        <w:rPr>
          <w:rStyle w:val="Hyperlink"/>
          <w:rFonts w:ascii="Calibri" w:hAnsi="Calibri" w:cs="Calibri"/>
          <w:lang w:val="en-GB"/>
        </w:rPr>
      </w:pPr>
      <w:hyperlink r:id="rId22" w:history="1">
        <w:r w:rsidR="00F10A96">
          <w:rPr>
            <w:rStyle w:val="Hyperlink"/>
            <w:rFonts w:ascii="Calibri" w:hAnsi="Calibri" w:cs="Calibri"/>
            <w:lang w:val="en-GB"/>
          </w:rPr>
          <w:t>Follow-up report</w:t>
        </w:r>
        <w:r w:rsidR="00F10A96" w:rsidRPr="00030502">
          <w:rPr>
            <w:rStyle w:val="Hyperlink"/>
            <w:rFonts w:ascii="Calibri" w:hAnsi="Calibri" w:cs="Calibri"/>
            <w:lang w:val="en-GB"/>
          </w:rPr>
          <w:t xml:space="preserve"> on implementation of art. </w:t>
        </w:r>
        <w:r w:rsidR="00F10A96">
          <w:rPr>
            <w:rStyle w:val="Hyperlink"/>
            <w:rFonts w:ascii="Calibri" w:hAnsi="Calibri" w:cs="Calibri"/>
            <w:lang w:val="en-GB"/>
          </w:rPr>
          <w:t>11</w:t>
        </w:r>
        <w:r w:rsidR="00F10A96" w:rsidRPr="00030502">
          <w:rPr>
            <w:rStyle w:val="Hyperlink"/>
            <w:rFonts w:ascii="Calibri" w:hAnsi="Calibri" w:cs="Calibri"/>
            <w:lang w:val="en-GB"/>
          </w:rPr>
          <w:t xml:space="preserve"> of the Warsaw Convention</w:t>
        </w:r>
      </w:hyperlink>
    </w:p>
    <w:p w14:paraId="2B1FAD1B" w14:textId="77777777" w:rsidR="006B4AA4" w:rsidRDefault="006B4AA4" w:rsidP="00F10A96">
      <w:pPr>
        <w:pStyle w:val="NoSpacing"/>
        <w:rPr>
          <w:rStyle w:val="Hyperlink"/>
          <w:rFonts w:ascii="Calibri" w:hAnsi="Calibri" w:cs="Calibri"/>
          <w:lang w:val="en-GB"/>
        </w:rPr>
      </w:pPr>
    </w:p>
    <w:p w14:paraId="42F30295" w14:textId="09401221" w:rsidR="006B4AA4" w:rsidRPr="006B4AA4" w:rsidRDefault="006B4AA4" w:rsidP="00F10A96">
      <w:pPr>
        <w:pStyle w:val="NoSpacing"/>
        <w:rPr>
          <w:rFonts w:ascii="Calibri" w:eastAsiaTheme="minorHAnsi" w:hAnsi="Calibri" w:cs="Calibri"/>
          <w:lang w:val="en-GB"/>
        </w:rPr>
      </w:pPr>
      <w:r w:rsidRPr="00336823">
        <w:rPr>
          <w:rFonts w:eastAsiaTheme="minorHAnsi"/>
          <w:lang w:val="en-US"/>
        </w:rPr>
        <w:t xml:space="preserve">Venice Commission </w:t>
      </w:r>
    </w:p>
    <w:p w14:paraId="1FD412E3" w14:textId="77777777" w:rsidR="00F10A96" w:rsidRPr="00F5632A" w:rsidRDefault="00F10A96" w:rsidP="00B65730">
      <w:pPr>
        <w:rPr>
          <w:lang w:val="en-GB"/>
        </w:rPr>
      </w:pPr>
    </w:p>
    <w:p w14:paraId="090454D0" w14:textId="77777777" w:rsidR="006B4AA4" w:rsidRDefault="006B4AA4" w:rsidP="006B4AA4">
      <w:pPr>
        <w:pStyle w:val="Default"/>
        <w:jc w:val="both"/>
        <w:rPr>
          <w:color w:val="auto"/>
          <w:sz w:val="20"/>
          <w:szCs w:val="20"/>
          <w:lang w:val="en-GB"/>
        </w:rPr>
      </w:pPr>
      <w:r>
        <w:fldChar w:fldCharType="begin"/>
      </w:r>
      <w:r w:rsidRPr="0015253B">
        <w:rPr>
          <w:lang w:val="en-GB"/>
          <w:rPrChange w:id="10" w:author="DANIELL Saskia" w:date="2025-01-31T13:04:00Z">
            <w:rPr/>
          </w:rPrChange>
        </w:rPr>
        <w:instrText>HYPERLINK "https://www.venice.coe.int/webforms/documents/default.aspx?pdffile=CDL-AD(2024)011-e"</w:instrText>
      </w:r>
      <w:r>
        <w:fldChar w:fldCharType="separate"/>
      </w:r>
      <w:r w:rsidRPr="00A87A38">
        <w:rPr>
          <w:rStyle w:val="Hyperlink"/>
          <w:sz w:val="20"/>
          <w:szCs w:val="20"/>
          <w:lang w:val="en-GB"/>
        </w:rPr>
        <w:t>CDL-</w:t>
      </w:r>
      <w:proofErr w:type="gramStart"/>
      <w:r w:rsidRPr="00A87A38">
        <w:rPr>
          <w:rStyle w:val="Hyperlink"/>
          <w:sz w:val="20"/>
          <w:szCs w:val="20"/>
          <w:lang w:val="en-GB"/>
        </w:rPr>
        <w:t>AD(</w:t>
      </w:r>
      <w:proofErr w:type="gramEnd"/>
      <w:r w:rsidRPr="00A87A38">
        <w:rPr>
          <w:rStyle w:val="Hyperlink"/>
          <w:sz w:val="20"/>
          <w:szCs w:val="20"/>
          <w:lang w:val="en-GB"/>
        </w:rPr>
        <w:t>2024)011-e</w:t>
      </w:r>
      <w:r>
        <w:rPr>
          <w:rStyle w:val="Hyperlink"/>
          <w:sz w:val="20"/>
          <w:szCs w:val="20"/>
          <w:lang w:val="en-GB"/>
        </w:rPr>
        <w:fldChar w:fldCharType="end"/>
      </w:r>
      <w:r w:rsidRPr="00A87A38">
        <w:rPr>
          <w:color w:val="auto"/>
          <w:sz w:val="20"/>
          <w:szCs w:val="20"/>
          <w:lang w:val="en-GB"/>
        </w:rPr>
        <w:br/>
        <w:t>Montenegro – Urgent Opinion on the draft law on the prevention of corruption, issued on 21 May 2024 pursuant to Article 14a of the Venice Commission’s Revised Rules of Procedure, endorsed by the Venice Commission at its 139th Plenary Session (Venice, 21-22 June 2024)</w:t>
      </w:r>
    </w:p>
    <w:p w14:paraId="063664C4" w14:textId="77777777" w:rsidR="006B4AA4" w:rsidRDefault="006B4AA4" w:rsidP="006B4AA4">
      <w:pPr>
        <w:pStyle w:val="Default"/>
        <w:jc w:val="both"/>
        <w:rPr>
          <w:color w:val="auto"/>
          <w:sz w:val="20"/>
          <w:szCs w:val="20"/>
          <w:lang w:val="en-GB"/>
        </w:rPr>
      </w:pPr>
    </w:p>
    <w:p w14:paraId="6FC470D4" w14:textId="77777777" w:rsidR="006B4AA4" w:rsidRDefault="006B4AA4" w:rsidP="006B4AA4">
      <w:pPr>
        <w:pStyle w:val="Default"/>
        <w:jc w:val="both"/>
        <w:rPr>
          <w:color w:val="auto"/>
          <w:sz w:val="20"/>
          <w:szCs w:val="20"/>
          <w:lang w:val="en-GB"/>
        </w:rPr>
      </w:pPr>
      <w:r>
        <w:fldChar w:fldCharType="begin"/>
      </w:r>
      <w:r w:rsidRPr="0015253B">
        <w:rPr>
          <w:lang w:val="en-GB"/>
          <w:rPrChange w:id="11" w:author="DANIELL Saskia" w:date="2025-01-31T13:04:00Z">
            <w:rPr/>
          </w:rPrChange>
        </w:rPr>
        <w:instrText>HYPERLINK "https://www.venice.coe.int/webforms/documents/default.aspx?pdffile=CDL-PI(2024)008-e"</w:instrText>
      </w:r>
      <w:r>
        <w:fldChar w:fldCharType="separate"/>
      </w:r>
      <w:r w:rsidRPr="00BD569A">
        <w:rPr>
          <w:rStyle w:val="Hyperlink"/>
          <w:sz w:val="20"/>
          <w:szCs w:val="20"/>
          <w:lang w:val="en-GB"/>
        </w:rPr>
        <w:t>CDL-</w:t>
      </w:r>
      <w:proofErr w:type="gramStart"/>
      <w:r w:rsidRPr="00BD569A">
        <w:rPr>
          <w:rStyle w:val="Hyperlink"/>
          <w:sz w:val="20"/>
          <w:szCs w:val="20"/>
          <w:lang w:val="en-GB"/>
        </w:rPr>
        <w:t>PI(</w:t>
      </w:r>
      <w:proofErr w:type="gramEnd"/>
      <w:r w:rsidRPr="00BD569A">
        <w:rPr>
          <w:rStyle w:val="Hyperlink"/>
          <w:sz w:val="20"/>
          <w:szCs w:val="20"/>
          <w:lang w:val="en-GB"/>
        </w:rPr>
        <w:t>2024)008-e</w:t>
      </w:r>
      <w:r>
        <w:rPr>
          <w:rStyle w:val="Hyperlink"/>
          <w:sz w:val="20"/>
          <w:szCs w:val="20"/>
          <w:lang w:val="en-GB"/>
        </w:rPr>
        <w:fldChar w:fldCharType="end"/>
      </w:r>
      <w:r w:rsidRPr="00BD569A">
        <w:rPr>
          <w:color w:val="auto"/>
          <w:sz w:val="20"/>
          <w:szCs w:val="20"/>
          <w:lang w:val="en-GB"/>
        </w:rPr>
        <w:br/>
        <w:t>Urgent Opinion on the draft law on the prevention of corruption</w:t>
      </w:r>
    </w:p>
    <w:p w14:paraId="582DE873" w14:textId="77777777" w:rsidR="00336823" w:rsidRDefault="00336823" w:rsidP="006B4AA4">
      <w:pPr>
        <w:pStyle w:val="Default"/>
        <w:jc w:val="both"/>
        <w:rPr>
          <w:color w:val="auto"/>
          <w:sz w:val="20"/>
          <w:szCs w:val="20"/>
          <w:lang w:val="en-GB"/>
        </w:rPr>
      </w:pPr>
    </w:p>
    <w:p w14:paraId="25BC99FA" w14:textId="77777777" w:rsidR="00336823" w:rsidRDefault="00336823" w:rsidP="006B4AA4">
      <w:pPr>
        <w:pStyle w:val="Default"/>
        <w:jc w:val="both"/>
        <w:rPr>
          <w:color w:val="auto"/>
          <w:sz w:val="20"/>
          <w:szCs w:val="20"/>
          <w:lang w:val="en-GB"/>
        </w:rPr>
      </w:pPr>
    </w:p>
    <w:p w14:paraId="753485A8" w14:textId="77777777" w:rsidR="00336823" w:rsidRDefault="00336823" w:rsidP="006B4AA4">
      <w:pPr>
        <w:pStyle w:val="Default"/>
        <w:jc w:val="both"/>
        <w:rPr>
          <w:color w:val="auto"/>
          <w:sz w:val="20"/>
          <w:szCs w:val="20"/>
          <w:lang w:val="en-GB"/>
        </w:rPr>
      </w:pPr>
    </w:p>
    <w:p w14:paraId="274C755C" w14:textId="328DBF37" w:rsidR="00336823" w:rsidRDefault="00336823" w:rsidP="006B4AA4">
      <w:pPr>
        <w:pStyle w:val="Default"/>
        <w:jc w:val="both"/>
        <w:rPr>
          <w:color w:val="auto"/>
          <w:sz w:val="20"/>
          <w:szCs w:val="20"/>
          <w:lang w:val="en-GB"/>
        </w:rPr>
      </w:pPr>
      <w:r>
        <w:rPr>
          <w:color w:val="auto"/>
          <w:sz w:val="20"/>
          <w:szCs w:val="20"/>
          <w:lang w:val="en-GB"/>
        </w:rPr>
        <w:t>PACE</w:t>
      </w:r>
    </w:p>
    <w:p w14:paraId="69F84E32" w14:textId="77777777" w:rsidR="00336823" w:rsidRDefault="00336823" w:rsidP="006B4AA4">
      <w:pPr>
        <w:pStyle w:val="Default"/>
        <w:jc w:val="both"/>
        <w:rPr>
          <w:color w:val="auto"/>
          <w:sz w:val="20"/>
          <w:szCs w:val="20"/>
          <w:lang w:val="en-GB"/>
        </w:rPr>
      </w:pPr>
    </w:p>
    <w:p w14:paraId="60BBEB8F" w14:textId="77777777" w:rsidR="00336823" w:rsidRPr="00336823" w:rsidRDefault="00336823" w:rsidP="00336823">
      <w:pPr>
        <w:rPr>
          <w:rFonts w:cstheme="minorHAnsi"/>
          <w:lang w:val="en-US"/>
        </w:rPr>
      </w:pPr>
      <w:r w:rsidRPr="00336823">
        <w:rPr>
          <w:rFonts w:cstheme="minorHAnsi"/>
          <w:b/>
          <w:bCs/>
          <w:lang w:val="en-US"/>
        </w:rPr>
        <w:t>Montenegro</w:t>
      </w:r>
      <w:r w:rsidRPr="00336823">
        <w:rPr>
          <w:rFonts w:cstheme="minorHAnsi"/>
          <w:lang w:val="en-US"/>
        </w:rPr>
        <w:t xml:space="preserve"> </w:t>
      </w:r>
      <w:r w:rsidRPr="00336823">
        <w:rPr>
          <w:rFonts w:cstheme="minorHAnsi"/>
          <w:b/>
          <w:bCs/>
          <w:lang w:val="en-US"/>
        </w:rPr>
        <w:t>|</w:t>
      </w:r>
      <w:r w:rsidRPr="00336823">
        <w:rPr>
          <w:rFonts w:cstheme="minorHAnsi"/>
          <w:lang w:val="en-US"/>
        </w:rPr>
        <w:t xml:space="preserve"> </w:t>
      </w:r>
      <w:hyperlink r:id="rId23" w:history="1">
        <w:r w:rsidRPr="00336823">
          <w:rPr>
            <w:rStyle w:val="Hyperlink"/>
            <w:rFonts w:cstheme="minorHAnsi"/>
            <w:lang w:val="en-US"/>
          </w:rPr>
          <w:t>Doc. 16086</w:t>
        </w:r>
      </w:hyperlink>
    </w:p>
    <w:p w14:paraId="2448C3CA" w14:textId="77777777" w:rsidR="00336823" w:rsidRPr="00336823" w:rsidRDefault="00336823" w:rsidP="00336823">
      <w:pPr>
        <w:rPr>
          <w:rFonts w:cstheme="minorHAnsi"/>
          <w:lang w:val="en-US"/>
        </w:rPr>
      </w:pPr>
    </w:p>
    <w:p w14:paraId="168BD302" w14:textId="77777777" w:rsidR="00336823" w:rsidRPr="00336823" w:rsidRDefault="00336823" w:rsidP="00336823">
      <w:pPr>
        <w:jc w:val="both"/>
        <w:rPr>
          <w:rFonts w:cstheme="minorHAnsi"/>
          <w:lang w:val="en-US"/>
        </w:rPr>
      </w:pPr>
      <w:r w:rsidRPr="00336823">
        <w:rPr>
          <w:rFonts w:cstheme="minorHAnsi"/>
          <w:color w:val="161616"/>
          <w:shd w:val="clear" w:color="auto" w:fill="FFFFFF"/>
          <w:lang w:val="en-US"/>
        </w:rPr>
        <w:t xml:space="preserve">The Monitoring Committee welcomes the continuing commitment of the Montenegrin authorities to </w:t>
      </w:r>
      <w:proofErr w:type="spellStart"/>
      <w:r w:rsidRPr="00336823">
        <w:rPr>
          <w:rFonts w:cstheme="minorHAnsi"/>
          <w:color w:val="161616"/>
          <w:shd w:val="clear" w:color="auto" w:fill="FFFFFF"/>
          <w:lang w:val="en-US"/>
        </w:rPr>
        <w:t>honour</w:t>
      </w:r>
      <w:proofErr w:type="spellEnd"/>
      <w:r w:rsidRPr="00336823">
        <w:rPr>
          <w:rFonts w:cstheme="minorHAnsi"/>
          <w:color w:val="161616"/>
          <w:shd w:val="clear" w:color="auto" w:fill="FFFFFF"/>
          <w:lang w:val="en-US"/>
        </w:rPr>
        <w:t xml:space="preserve"> their obligations and commitments to the Council of Europe and to co-operate with the various Council of Europe bodies to achieve that goal. It takes note of the two urgent opinions on the prevention of corruption and on the Law on Seizure and Confiscation of Material Benefit Derived from Criminal Activity, and the three urgent follow-up opinions on Montenegro on the Law on the Judicial Council and Judges, the Law on the State Prosecution Service, and the Law on the Special State Prosecutor's Office, released by the Venice Commission in 2024. It welcomes the reforms adopted in a short </w:t>
      </w:r>
      <w:proofErr w:type="gramStart"/>
      <w:r w:rsidRPr="00336823">
        <w:rPr>
          <w:rFonts w:cstheme="minorHAnsi"/>
          <w:color w:val="161616"/>
          <w:shd w:val="clear" w:color="auto" w:fill="FFFFFF"/>
          <w:lang w:val="en-US"/>
        </w:rPr>
        <w:t>time period</w:t>
      </w:r>
      <w:proofErr w:type="gramEnd"/>
      <w:r w:rsidRPr="00336823">
        <w:rPr>
          <w:rFonts w:cstheme="minorHAnsi"/>
          <w:color w:val="161616"/>
          <w:shd w:val="clear" w:color="auto" w:fill="FFFFFF"/>
          <w:lang w:val="en-US"/>
        </w:rPr>
        <w:t xml:space="preserve"> in order to meet the interim benchmarks for accession to the European Union. These reforms bring Montenegro closer to fully </w:t>
      </w:r>
      <w:proofErr w:type="spellStart"/>
      <w:r w:rsidRPr="00336823">
        <w:rPr>
          <w:rFonts w:cstheme="minorHAnsi"/>
          <w:color w:val="161616"/>
          <w:shd w:val="clear" w:color="auto" w:fill="FFFFFF"/>
          <w:lang w:val="en-US"/>
        </w:rPr>
        <w:t>honouring</w:t>
      </w:r>
      <w:proofErr w:type="spellEnd"/>
      <w:r w:rsidRPr="00336823">
        <w:rPr>
          <w:rFonts w:cstheme="minorHAnsi"/>
          <w:color w:val="161616"/>
          <w:shd w:val="clear" w:color="auto" w:fill="FFFFFF"/>
          <w:lang w:val="en-US"/>
        </w:rPr>
        <w:t xml:space="preserve"> its membership obligations and accession commitments, and as a result the end of the post-monitoring dialogue. The Monitoring Committee reiterates that for that to happen, Montenegro is expected to fully address the remaining questions </w:t>
      </w:r>
      <w:proofErr w:type="gramStart"/>
      <w:r w:rsidRPr="00336823">
        <w:rPr>
          <w:rFonts w:cstheme="minorHAnsi"/>
          <w:color w:val="161616"/>
          <w:shd w:val="clear" w:color="auto" w:fill="FFFFFF"/>
          <w:lang w:val="en-US"/>
        </w:rPr>
        <w:t>with regard to</w:t>
      </w:r>
      <w:proofErr w:type="gramEnd"/>
      <w:r w:rsidRPr="00336823">
        <w:rPr>
          <w:rFonts w:cstheme="minorHAnsi"/>
          <w:color w:val="161616"/>
          <w:shd w:val="clear" w:color="auto" w:fill="FFFFFF"/>
          <w:lang w:val="en-US"/>
        </w:rPr>
        <w:t xml:space="preserve"> the independence of the judiciary, the trust in the electoral process, the fight against corruption, and the media environment.</w:t>
      </w:r>
    </w:p>
    <w:p w14:paraId="62535704" w14:textId="77777777" w:rsidR="002207AC" w:rsidRPr="002207AC" w:rsidRDefault="002207AC" w:rsidP="002207AC">
      <w:pPr>
        <w:keepNext/>
        <w:spacing w:before="320"/>
        <w:outlineLvl w:val="0"/>
        <w:rPr>
          <w:rFonts w:ascii="Calibri Light" w:eastAsia="Times New Roman" w:hAnsi="Calibri Light" w:cs="Calibri Light"/>
          <w:color w:val="2F5496"/>
          <w:kern w:val="36"/>
          <w:sz w:val="32"/>
          <w:szCs w:val="32"/>
          <w:lang w:val="en-US"/>
        </w:rPr>
      </w:pPr>
    </w:p>
    <w:p w14:paraId="323E1B7B" w14:textId="77777777" w:rsidR="002207AC" w:rsidRDefault="002207AC" w:rsidP="002207AC">
      <w:pPr>
        <w:keepNext/>
        <w:spacing w:before="320"/>
        <w:outlineLvl w:val="0"/>
        <w:rPr>
          <w:rFonts w:ascii="Calibri Light" w:eastAsia="Times New Roman" w:hAnsi="Calibri Light" w:cs="Calibri Light"/>
          <w:color w:val="2F5496"/>
          <w:kern w:val="36"/>
          <w:sz w:val="32"/>
          <w:szCs w:val="32"/>
          <w:lang w:val="en-US"/>
        </w:rPr>
      </w:pPr>
      <w:bookmarkStart w:id="12" w:name="_Toc36635845"/>
      <w:r w:rsidRPr="002207AC">
        <w:rPr>
          <w:rFonts w:ascii="Calibri Light" w:eastAsia="Times New Roman" w:hAnsi="Calibri Light" w:cs="Calibri Light"/>
          <w:color w:val="2F5496"/>
          <w:kern w:val="36"/>
          <w:sz w:val="32"/>
          <w:szCs w:val="32"/>
          <w:lang w:val="en-US"/>
        </w:rPr>
        <w:t>III Media pluralism</w:t>
      </w:r>
      <w:bookmarkEnd w:id="12"/>
      <w:r w:rsidRPr="002207AC">
        <w:rPr>
          <w:rFonts w:ascii="Calibri Light" w:eastAsia="Times New Roman" w:hAnsi="Calibri Light" w:cs="Calibri Light"/>
          <w:color w:val="2F5496"/>
          <w:kern w:val="36"/>
          <w:sz w:val="32"/>
          <w:szCs w:val="32"/>
          <w:lang w:val="en-US"/>
        </w:rPr>
        <w:t xml:space="preserve"> </w:t>
      </w:r>
    </w:p>
    <w:p w14:paraId="6D168540" w14:textId="1402CAEF" w:rsidR="003F3823" w:rsidRDefault="003F3823" w:rsidP="002207AC">
      <w:pPr>
        <w:keepNext/>
        <w:spacing w:before="320"/>
        <w:outlineLvl w:val="0"/>
        <w:rPr>
          <w:rFonts w:cstheme="minorHAnsi"/>
          <w:lang w:val="en-GB"/>
        </w:rPr>
      </w:pPr>
      <w:r w:rsidRPr="0010460B">
        <w:rPr>
          <w:rFonts w:cstheme="minorHAnsi"/>
          <w:lang w:val="en-GB"/>
        </w:rPr>
        <w:t>Council of Europe Commissioner for Human Rights</w:t>
      </w:r>
    </w:p>
    <w:p w14:paraId="2BEA9AE7" w14:textId="77777777" w:rsidR="003F3823" w:rsidRPr="003F3823" w:rsidRDefault="003F3823" w:rsidP="002207AC">
      <w:pPr>
        <w:keepNext/>
        <w:spacing w:before="320"/>
        <w:outlineLvl w:val="0"/>
        <w:rPr>
          <w:rFonts w:cstheme="minorHAnsi"/>
          <w:lang w:val="en-GB"/>
        </w:rPr>
      </w:pPr>
    </w:p>
    <w:p w14:paraId="4EB93255" w14:textId="77777777" w:rsidR="003F3823" w:rsidRDefault="00000000" w:rsidP="003F3823">
      <w:pPr>
        <w:jc w:val="both"/>
        <w:rPr>
          <w:rFonts w:cstheme="minorHAnsi"/>
          <w:lang w:val="en-GB"/>
        </w:rPr>
      </w:pPr>
      <w:hyperlink r:id="rId24" w:history="1">
        <w:r w:rsidR="003F3823" w:rsidRPr="0010460B">
          <w:rPr>
            <w:rStyle w:val="Hyperlink"/>
            <w:rFonts w:cstheme="minorHAnsi"/>
            <w:lang w:val="en-GB"/>
          </w:rPr>
          <w:t>Statement</w:t>
        </w:r>
      </w:hyperlink>
      <w:r w:rsidR="003F3823" w:rsidRPr="0010460B">
        <w:rPr>
          <w:rFonts w:cstheme="minorHAnsi"/>
          <w:lang w:val="en-GB"/>
        </w:rPr>
        <w:t xml:space="preserve"> </w:t>
      </w:r>
      <w:r w:rsidR="003F3823">
        <w:rPr>
          <w:rFonts w:cstheme="minorHAnsi"/>
          <w:lang w:val="en-GB"/>
        </w:rPr>
        <w:t>from</w:t>
      </w:r>
      <w:r w:rsidR="003F3823" w:rsidRPr="0010460B">
        <w:rPr>
          <w:rFonts w:cstheme="minorHAnsi"/>
          <w:lang w:val="en-GB"/>
        </w:rPr>
        <w:t xml:space="preserve"> the </w:t>
      </w:r>
      <w:r w:rsidR="003F3823">
        <w:rPr>
          <w:rFonts w:cstheme="minorHAnsi"/>
          <w:lang w:val="en-GB"/>
        </w:rPr>
        <w:t xml:space="preserve">former </w:t>
      </w:r>
      <w:r w:rsidR="003F3823" w:rsidRPr="0010460B">
        <w:rPr>
          <w:rFonts w:cstheme="minorHAnsi"/>
          <w:lang w:val="en-GB"/>
        </w:rPr>
        <w:t xml:space="preserve">Council of Europe Commissioner for Human Rights, </w:t>
      </w:r>
      <w:proofErr w:type="spellStart"/>
      <w:r w:rsidR="003F3823" w:rsidRPr="0010460B">
        <w:rPr>
          <w:rFonts w:cstheme="minorHAnsi"/>
          <w:lang w:val="en-GB"/>
        </w:rPr>
        <w:t>Dunja</w:t>
      </w:r>
      <w:proofErr w:type="spellEnd"/>
      <w:r w:rsidR="003F3823" w:rsidRPr="0010460B">
        <w:rPr>
          <w:rFonts w:cstheme="minorHAnsi"/>
          <w:lang w:val="en-GB"/>
        </w:rPr>
        <w:t xml:space="preserve"> </w:t>
      </w:r>
      <w:proofErr w:type="spellStart"/>
      <w:r w:rsidR="003F3823" w:rsidRPr="0010460B">
        <w:rPr>
          <w:rFonts w:cstheme="minorHAnsi"/>
          <w:lang w:val="en-GB"/>
        </w:rPr>
        <w:t>Mijatović</w:t>
      </w:r>
      <w:proofErr w:type="spellEnd"/>
      <w:r w:rsidR="003F3823" w:rsidRPr="0010460B">
        <w:rPr>
          <w:rFonts w:cstheme="minorHAnsi"/>
          <w:lang w:val="en-GB"/>
        </w:rPr>
        <w:t>, following her visit to Montenegro from 18 to 21 March</w:t>
      </w:r>
      <w:r w:rsidR="003F3823">
        <w:rPr>
          <w:rFonts w:cstheme="minorHAnsi"/>
          <w:lang w:val="en-GB"/>
        </w:rPr>
        <w:t xml:space="preserve"> 2024, published on </w:t>
      </w:r>
      <w:r w:rsidR="003F3823" w:rsidRPr="00FF10DB">
        <w:rPr>
          <w:rFonts w:cstheme="minorHAnsi"/>
          <w:lang w:val="en-GB"/>
        </w:rPr>
        <w:t>22 March</w:t>
      </w:r>
      <w:r w:rsidR="003F3823">
        <w:rPr>
          <w:rFonts w:cstheme="minorHAnsi"/>
          <w:lang w:val="en-GB"/>
        </w:rPr>
        <w:t xml:space="preserve"> 2024</w:t>
      </w:r>
      <w:r w:rsidR="003F3823" w:rsidRPr="0010460B">
        <w:rPr>
          <w:rFonts w:cstheme="minorHAnsi"/>
          <w:lang w:val="en-GB"/>
        </w:rPr>
        <w:t>. The Commissioner welcomed a reported decrease in acts of physical violence against journalists in recent years but stressed the importance of ensuring there is no impunity for such vi</w:t>
      </w:r>
      <w:r w:rsidR="003F3823">
        <w:rPr>
          <w:rFonts w:cstheme="minorHAnsi"/>
          <w:lang w:val="en-GB"/>
        </w:rPr>
        <w:t>olence, including that committed in the past</w:t>
      </w:r>
      <w:r w:rsidR="003F3823" w:rsidRPr="0010460B">
        <w:rPr>
          <w:rFonts w:cstheme="minorHAnsi"/>
          <w:lang w:val="en-GB"/>
        </w:rPr>
        <w:t xml:space="preserve">, </w:t>
      </w:r>
      <w:r w:rsidR="003F3823">
        <w:rPr>
          <w:rFonts w:cstheme="minorHAnsi"/>
          <w:lang w:val="en-GB"/>
        </w:rPr>
        <w:t xml:space="preserve">such as </w:t>
      </w:r>
      <w:r w:rsidR="003F3823" w:rsidRPr="0010460B">
        <w:rPr>
          <w:rFonts w:cstheme="minorHAnsi"/>
          <w:lang w:val="en-GB"/>
        </w:rPr>
        <w:t xml:space="preserve">in the case of murdered journalist </w:t>
      </w:r>
      <w:proofErr w:type="spellStart"/>
      <w:r w:rsidR="003F3823" w:rsidRPr="004E4B76">
        <w:rPr>
          <w:rFonts w:cstheme="minorHAnsi"/>
          <w:color w:val="161616"/>
          <w:shd w:val="clear" w:color="auto" w:fill="FFFFFF"/>
          <w:lang w:val="en-GB"/>
        </w:rPr>
        <w:t>Duško</w:t>
      </w:r>
      <w:proofErr w:type="spellEnd"/>
      <w:r w:rsidR="003F3823" w:rsidRPr="004E4B76">
        <w:rPr>
          <w:rFonts w:cstheme="minorHAnsi"/>
          <w:color w:val="161616"/>
          <w:shd w:val="clear" w:color="auto" w:fill="FFFFFF"/>
          <w:lang w:val="en-GB"/>
        </w:rPr>
        <w:t xml:space="preserve"> Jovanović</w:t>
      </w:r>
      <w:r w:rsidR="003F3823" w:rsidRPr="0010460B">
        <w:rPr>
          <w:rFonts w:cstheme="minorHAnsi"/>
          <w:lang w:val="en-GB"/>
        </w:rPr>
        <w:t xml:space="preserve">. She also expressed concern about the rise </w:t>
      </w:r>
      <w:r w:rsidR="003F3823">
        <w:rPr>
          <w:rFonts w:cstheme="minorHAnsi"/>
          <w:lang w:val="en-GB"/>
        </w:rPr>
        <w:t>in the</w:t>
      </w:r>
      <w:r w:rsidR="003F3823" w:rsidRPr="0010460B">
        <w:rPr>
          <w:rFonts w:cstheme="minorHAnsi"/>
          <w:lang w:val="en-GB"/>
        </w:rPr>
        <w:t xml:space="preserve"> use of strategic litigation against public participation (SLAPPs) </w:t>
      </w:r>
      <w:r w:rsidR="003F3823">
        <w:rPr>
          <w:rFonts w:cstheme="minorHAnsi"/>
          <w:lang w:val="en-GB"/>
        </w:rPr>
        <w:t xml:space="preserve">and about sexist and misogynist speech against women journalists, </w:t>
      </w:r>
      <w:r w:rsidR="003F3823" w:rsidRPr="0010460B">
        <w:rPr>
          <w:rFonts w:cstheme="minorHAnsi"/>
          <w:lang w:val="en-GB"/>
        </w:rPr>
        <w:t>urging the authorities to address th</w:t>
      </w:r>
      <w:r w:rsidR="003F3823">
        <w:rPr>
          <w:rFonts w:cstheme="minorHAnsi"/>
          <w:lang w:val="en-GB"/>
        </w:rPr>
        <w:t>ese</w:t>
      </w:r>
      <w:r w:rsidR="003F3823" w:rsidRPr="0010460B">
        <w:rPr>
          <w:rFonts w:cstheme="minorHAnsi"/>
          <w:lang w:val="en-GB"/>
        </w:rPr>
        <w:t xml:space="preserve"> phenomen</w:t>
      </w:r>
      <w:r w:rsidR="003F3823">
        <w:rPr>
          <w:rFonts w:cstheme="minorHAnsi"/>
          <w:lang w:val="en-GB"/>
        </w:rPr>
        <w:t>a</w:t>
      </w:r>
      <w:r w:rsidR="003F3823" w:rsidRPr="0010460B">
        <w:rPr>
          <w:rFonts w:cstheme="minorHAnsi"/>
          <w:lang w:val="en-GB"/>
        </w:rPr>
        <w:t>. The Commissioner referred to long-standing problems in the media sector, including polarisation, an unregulated online media environment and the lack of media self-regulation and called for the adoption of a set of media laws under preparation</w:t>
      </w:r>
      <w:r w:rsidR="003F3823">
        <w:rPr>
          <w:rFonts w:cstheme="minorHAnsi"/>
          <w:lang w:val="en-GB"/>
        </w:rPr>
        <w:t xml:space="preserve"> at the time of her visit</w:t>
      </w:r>
      <w:r w:rsidR="003F3823" w:rsidRPr="0010460B">
        <w:rPr>
          <w:rFonts w:cstheme="minorHAnsi"/>
          <w:lang w:val="en-GB"/>
        </w:rPr>
        <w:t>. She also expressed concern about the lack of implementation of repeated court decisions regarding the appointment of the Director of Radio-Television Montenegro (RTCG), which raise</w:t>
      </w:r>
      <w:r w:rsidR="003F3823">
        <w:rPr>
          <w:rFonts w:cstheme="minorHAnsi"/>
          <w:lang w:val="en-GB"/>
        </w:rPr>
        <w:t>d</w:t>
      </w:r>
      <w:r w:rsidR="003F3823" w:rsidRPr="0010460B">
        <w:rPr>
          <w:rFonts w:cstheme="minorHAnsi"/>
          <w:lang w:val="en-GB"/>
        </w:rPr>
        <w:t xml:space="preserve"> questions regarding respect for the rule of law.</w:t>
      </w:r>
    </w:p>
    <w:p w14:paraId="0A78F185" w14:textId="77777777" w:rsidR="002207AC" w:rsidRPr="002207AC" w:rsidRDefault="002207AC" w:rsidP="002207AC">
      <w:pPr>
        <w:keepNext/>
        <w:spacing w:before="320"/>
        <w:outlineLvl w:val="0"/>
        <w:rPr>
          <w:rFonts w:ascii="Calibri Light" w:eastAsia="Times New Roman" w:hAnsi="Calibri Light" w:cs="Calibri Light"/>
          <w:color w:val="2F5496"/>
          <w:kern w:val="36"/>
          <w:sz w:val="32"/>
          <w:szCs w:val="32"/>
          <w:lang w:val="en-US"/>
        </w:rPr>
      </w:pPr>
    </w:p>
    <w:p w14:paraId="5CD63EC0" w14:textId="77777777" w:rsidR="002207AC" w:rsidRPr="002207AC" w:rsidRDefault="002207AC" w:rsidP="002207AC">
      <w:pPr>
        <w:keepNext/>
        <w:spacing w:before="320"/>
        <w:outlineLvl w:val="0"/>
        <w:rPr>
          <w:rFonts w:ascii="Calibri Light" w:eastAsia="Times New Roman" w:hAnsi="Calibri Light" w:cs="Calibri Light"/>
          <w:color w:val="2F5496"/>
          <w:kern w:val="36"/>
          <w:sz w:val="32"/>
          <w:szCs w:val="32"/>
          <w:lang w:val="en-US"/>
        </w:rPr>
      </w:pPr>
      <w:bookmarkStart w:id="13" w:name="_Toc36635858"/>
      <w:r w:rsidRPr="002207AC">
        <w:rPr>
          <w:rFonts w:ascii="Calibri Light" w:eastAsia="Times New Roman" w:hAnsi="Calibri Light" w:cs="Calibri Light"/>
          <w:color w:val="2F5496"/>
          <w:kern w:val="36"/>
          <w:sz w:val="32"/>
          <w:szCs w:val="32"/>
          <w:lang w:val="en-US"/>
        </w:rPr>
        <w:t>IV Other institutional issues related to checks and balances</w:t>
      </w:r>
      <w:bookmarkEnd w:id="13"/>
      <w:r w:rsidRPr="002207AC">
        <w:rPr>
          <w:rFonts w:ascii="Calibri Light" w:eastAsia="Times New Roman" w:hAnsi="Calibri Light" w:cs="Calibri Light"/>
          <w:color w:val="2F5496"/>
          <w:kern w:val="36"/>
          <w:sz w:val="32"/>
          <w:szCs w:val="32"/>
          <w:lang w:val="en-US"/>
        </w:rPr>
        <w:t xml:space="preserve">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711E25D5" w14:textId="77777777" w:rsidR="00884E80" w:rsidRDefault="00884E80" w:rsidP="00884E80">
      <w:pPr>
        <w:jc w:val="both"/>
        <w:rPr>
          <w:rFonts w:eastAsiaTheme="minorHAnsi" w:cstheme="minorHAnsi"/>
          <w:lang w:val="en-GB"/>
        </w:rPr>
      </w:pPr>
      <w:r w:rsidRPr="00926962">
        <w:rPr>
          <w:rFonts w:eastAsiaTheme="minorHAnsi" w:cstheme="minorHAnsi"/>
          <w:u w:val="single"/>
          <w:lang w:val="en-GB"/>
        </w:rPr>
        <w:t>Sini</w:t>
      </w:r>
      <w:r w:rsidRPr="00926962">
        <w:rPr>
          <w:rFonts w:eastAsiaTheme="minorHAnsi" w:cstheme="minorHAnsi"/>
          <w:u w:val="single"/>
          <w:lang w:val="bs-Latn-BA"/>
        </w:rPr>
        <w:t>štaj and Others group v. Montenegro</w:t>
      </w:r>
      <w:r>
        <w:rPr>
          <w:rFonts w:eastAsiaTheme="minorHAnsi" w:cstheme="minorHAnsi"/>
          <w:lang w:val="bs-Latn-BA"/>
        </w:rPr>
        <w:t xml:space="preserve"> (</w:t>
      </w:r>
      <w:r w:rsidRPr="00CF5C50">
        <w:rPr>
          <w:rFonts w:eastAsiaTheme="minorHAnsi" w:cstheme="minorHAnsi"/>
          <w:lang w:val="en-GB"/>
        </w:rPr>
        <w:t>1451/10)</w:t>
      </w:r>
      <w:r>
        <w:rPr>
          <w:rFonts w:eastAsiaTheme="minorHAnsi" w:cstheme="minorHAnsi"/>
          <w:lang w:val="en-GB"/>
        </w:rPr>
        <w:t xml:space="preserve">: </w:t>
      </w:r>
      <w:r w:rsidRPr="00926962">
        <w:rPr>
          <w:rFonts w:eastAsiaTheme="minorHAnsi" w:cstheme="minorHAnsi"/>
          <w:lang w:val="en-GB"/>
        </w:rPr>
        <w:t>concerns the applicants</w:t>
      </w:r>
      <w:r>
        <w:rPr>
          <w:rFonts w:eastAsiaTheme="minorHAnsi" w:cstheme="minorHAnsi"/>
          <w:lang w:val="en-GB"/>
        </w:rPr>
        <w:t>’</w:t>
      </w:r>
      <w:r w:rsidRPr="00926962">
        <w:rPr>
          <w:rFonts w:eastAsiaTheme="minorHAnsi" w:cstheme="minorHAnsi"/>
          <w:lang w:val="en-GB"/>
        </w:rPr>
        <w:t xml:space="preserve"> ill-treatment in police detention </w:t>
      </w:r>
      <w:r>
        <w:rPr>
          <w:rFonts w:eastAsiaTheme="minorHAnsi" w:cstheme="minorHAnsi"/>
          <w:lang w:val="en-GB"/>
        </w:rPr>
        <w:t xml:space="preserve">and </w:t>
      </w:r>
      <w:r w:rsidRPr="00926962">
        <w:rPr>
          <w:rFonts w:eastAsiaTheme="minorHAnsi" w:cstheme="minorHAnsi"/>
          <w:lang w:val="en-GB"/>
        </w:rPr>
        <w:t>the lack of an effective investigation into the applicants’ complaints of their ill-treatment.</w:t>
      </w:r>
      <w:r>
        <w:rPr>
          <w:rFonts w:eastAsiaTheme="minorHAnsi" w:cstheme="minorHAnsi"/>
          <w:lang w:val="en-GB"/>
        </w:rPr>
        <w:t xml:space="preserve"> </w:t>
      </w:r>
      <w:r w:rsidRPr="00926962">
        <w:rPr>
          <w:rFonts w:eastAsiaTheme="minorHAnsi" w:cstheme="minorHAnsi"/>
          <w:lang w:val="en-GB"/>
        </w:rPr>
        <w:t xml:space="preserve">The case of </w:t>
      </w:r>
      <w:proofErr w:type="spellStart"/>
      <w:r w:rsidRPr="00926962">
        <w:rPr>
          <w:rFonts w:eastAsiaTheme="minorHAnsi" w:cstheme="minorHAnsi"/>
          <w:i/>
          <w:iCs/>
          <w:lang w:val="en-GB"/>
        </w:rPr>
        <w:t>Baranin</w:t>
      </w:r>
      <w:proofErr w:type="spellEnd"/>
      <w:r w:rsidRPr="00926962">
        <w:rPr>
          <w:rFonts w:eastAsiaTheme="minorHAnsi" w:cstheme="minorHAnsi"/>
          <w:i/>
          <w:iCs/>
          <w:lang w:val="en-GB"/>
        </w:rPr>
        <w:t> and </w:t>
      </w:r>
      <w:proofErr w:type="spellStart"/>
      <w:r w:rsidRPr="00926962">
        <w:rPr>
          <w:rFonts w:eastAsiaTheme="minorHAnsi" w:cstheme="minorHAnsi"/>
          <w:i/>
          <w:iCs/>
          <w:lang w:val="en-GB"/>
        </w:rPr>
        <w:t>Vukčević</w:t>
      </w:r>
      <w:proofErr w:type="spellEnd"/>
      <w:r>
        <w:rPr>
          <w:rFonts w:eastAsiaTheme="minorHAnsi" w:cstheme="minorHAnsi"/>
          <w:lang w:val="en-GB"/>
        </w:rPr>
        <w:t>, part of this group,</w:t>
      </w:r>
      <w:r w:rsidRPr="00926962">
        <w:rPr>
          <w:rFonts w:eastAsiaTheme="minorHAnsi" w:cstheme="minorHAnsi"/>
          <w:lang w:val="en-GB"/>
        </w:rPr>
        <w:t xml:space="preserve"> concerns the continuing ineffectiveness of investigation into the applicants’ complaints of their ill-treatment by unidentified Special Anti-Terrorist Unit police officers.</w:t>
      </w:r>
    </w:p>
    <w:p w14:paraId="2C9E4248" w14:textId="77777777" w:rsidR="00884E80" w:rsidRDefault="00884E80" w:rsidP="00884E80">
      <w:pPr>
        <w:jc w:val="both"/>
        <w:rPr>
          <w:rFonts w:eastAsiaTheme="minorHAnsi" w:cstheme="minorHAnsi"/>
          <w:lang w:val="en-GB"/>
        </w:rPr>
      </w:pPr>
      <w:r>
        <w:rPr>
          <w:rFonts w:eastAsiaTheme="minorHAnsi" w:cstheme="minorHAnsi"/>
          <w:lang w:val="en-GB"/>
        </w:rPr>
        <w:t xml:space="preserve">Presentation on </w:t>
      </w:r>
      <w:proofErr w:type="spellStart"/>
      <w:r>
        <w:rPr>
          <w:rFonts w:eastAsiaTheme="minorHAnsi" w:cstheme="minorHAnsi"/>
          <w:lang w:val="en-GB"/>
        </w:rPr>
        <w:t>hudoc</w:t>
      </w:r>
      <w:proofErr w:type="spellEnd"/>
      <w:r>
        <w:rPr>
          <w:rFonts w:eastAsiaTheme="minorHAnsi" w:cstheme="minorHAnsi"/>
          <w:lang w:val="en-GB"/>
        </w:rPr>
        <w:t xml:space="preserve"> exec: </w:t>
      </w:r>
      <w:hyperlink r:id="rId25" w:history="1">
        <w:proofErr w:type="spellStart"/>
        <w:r w:rsidRPr="00926962">
          <w:rPr>
            <w:rStyle w:val="Hyperlink"/>
            <w:rFonts w:eastAsiaTheme="minorHAnsi" w:cstheme="minorHAnsi"/>
            <w:lang w:val="en-GB"/>
          </w:rPr>
          <w:t>Sinistaj</w:t>
        </w:r>
        <w:proofErr w:type="spellEnd"/>
        <w:r w:rsidRPr="00926962">
          <w:rPr>
            <w:rStyle w:val="Hyperlink"/>
            <w:rFonts w:eastAsiaTheme="minorHAnsi" w:cstheme="minorHAnsi"/>
            <w:lang w:val="en-GB"/>
          </w:rPr>
          <w:t xml:space="preserve"> and Others</w:t>
        </w:r>
      </w:hyperlink>
    </w:p>
    <w:p w14:paraId="4E619F32" w14:textId="77777777" w:rsidR="00884E80" w:rsidRPr="00926962" w:rsidRDefault="00884E80" w:rsidP="00884E80">
      <w:pPr>
        <w:jc w:val="both"/>
        <w:rPr>
          <w:rFonts w:cs="Arial"/>
          <w:color w:val="FFFFFF" w:themeColor="background1"/>
          <w:sz w:val="22"/>
          <w:szCs w:val="22"/>
          <w:shd w:val="clear" w:color="auto" w:fill="1F3864" w:themeFill="accent1" w:themeFillShade="80"/>
          <w:lang w:val="en-GB"/>
        </w:rPr>
      </w:pPr>
      <w:r>
        <w:rPr>
          <w:rFonts w:eastAsiaTheme="minorHAnsi" w:cstheme="minorHAnsi"/>
          <w:lang w:val="en-GB"/>
        </w:rPr>
        <w:t xml:space="preserve">Latest submissions: </w:t>
      </w:r>
      <w:hyperlink r:id="rId26" w:history="1">
        <w:r w:rsidRPr="00342EBC">
          <w:rPr>
            <w:rStyle w:val="Hyperlink"/>
            <w:rFonts w:eastAsiaTheme="minorHAnsi" w:cstheme="minorHAnsi"/>
            <w:lang w:val="en-GB"/>
          </w:rPr>
          <w:t>DH-</w:t>
        </w:r>
        <w:proofErr w:type="gramStart"/>
        <w:r w:rsidRPr="00342EBC">
          <w:rPr>
            <w:rStyle w:val="Hyperlink"/>
            <w:rFonts w:eastAsiaTheme="minorHAnsi" w:cstheme="minorHAnsi"/>
            <w:lang w:val="en-GB"/>
          </w:rPr>
          <w:t>DD(</w:t>
        </w:r>
        <w:proofErr w:type="gramEnd"/>
        <w:r w:rsidRPr="00342EBC">
          <w:rPr>
            <w:rStyle w:val="Hyperlink"/>
            <w:rFonts w:eastAsiaTheme="minorHAnsi" w:cstheme="minorHAnsi"/>
            <w:lang w:val="en-GB"/>
          </w:rPr>
          <w:t>2024)1445</w:t>
        </w:r>
      </w:hyperlink>
    </w:p>
    <w:p w14:paraId="07A21C23" w14:textId="77777777" w:rsidR="00884E80" w:rsidRDefault="00884E80">
      <w:pPr>
        <w:rPr>
          <w:rFonts w:cs="Arial"/>
          <w:color w:val="FFFFFF" w:themeColor="background1"/>
          <w:sz w:val="22"/>
          <w:szCs w:val="22"/>
          <w:shd w:val="clear" w:color="auto" w:fill="1F3864" w:themeFill="accent1" w:themeFillShade="80"/>
          <w:lang w:val="en-US"/>
        </w:rPr>
      </w:pPr>
    </w:p>
    <w:p w14:paraId="159A5842" w14:textId="77777777" w:rsidR="007176C0" w:rsidRDefault="007176C0">
      <w:pPr>
        <w:rPr>
          <w:rFonts w:cs="Arial"/>
          <w:color w:val="FFFFFF" w:themeColor="background1"/>
          <w:sz w:val="22"/>
          <w:szCs w:val="22"/>
          <w:shd w:val="clear" w:color="auto" w:fill="1F3864" w:themeFill="accent1" w:themeFillShade="80"/>
          <w:lang w:val="en-US"/>
        </w:rPr>
      </w:pPr>
    </w:p>
    <w:p w14:paraId="0CB7C4C8" w14:textId="60DF1217" w:rsidR="007176C0" w:rsidRPr="007176C0" w:rsidRDefault="007176C0" w:rsidP="007176C0">
      <w:pPr>
        <w:pStyle w:val="Default"/>
        <w:jc w:val="both"/>
        <w:rPr>
          <w:color w:val="auto"/>
          <w:sz w:val="20"/>
          <w:szCs w:val="20"/>
          <w:lang w:val="en-GB"/>
        </w:rPr>
      </w:pPr>
      <w:r w:rsidRPr="007176C0">
        <w:rPr>
          <w:color w:val="auto"/>
          <w:sz w:val="20"/>
          <w:szCs w:val="20"/>
          <w:lang w:val="en-GB"/>
        </w:rPr>
        <w:t xml:space="preserve">Venice Commission </w:t>
      </w:r>
    </w:p>
    <w:p w14:paraId="32793123" w14:textId="77777777" w:rsidR="007176C0" w:rsidRPr="00336823" w:rsidRDefault="007176C0" w:rsidP="007176C0">
      <w:pPr>
        <w:pStyle w:val="Default"/>
        <w:jc w:val="both"/>
        <w:rPr>
          <w:lang w:val="en-US"/>
        </w:rPr>
      </w:pPr>
    </w:p>
    <w:p w14:paraId="5FA42DBB" w14:textId="0D2CDA1A" w:rsidR="007176C0" w:rsidRPr="005772E4" w:rsidRDefault="007176C0" w:rsidP="007176C0">
      <w:pPr>
        <w:pStyle w:val="Default"/>
        <w:jc w:val="both"/>
        <w:rPr>
          <w:color w:val="auto"/>
          <w:sz w:val="20"/>
          <w:szCs w:val="20"/>
          <w:lang w:val="en-GB"/>
        </w:rPr>
      </w:pPr>
      <w:r>
        <w:fldChar w:fldCharType="begin"/>
      </w:r>
      <w:r w:rsidRPr="0015253B">
        <w:rPr>
          <w:lang w:val="en-GB"/>
          <w:rPrChange w:id="14" w:author="DANIELL Saskia" w:date="2025-01-31T13:04:00Z">
            <w:rPr/>
          </w:rPrChange>
        </w:rPr>
        <w:instrText>HYPERLINK "https://www.venice.coe.int/webforms/documents/default.aspx?pdffile=CDL-AD(2024)024-e"</w:instrText>
      </w:r>
      <w:r>
        <w:fldChar w:fldCharType="separate"/>
      </w:r>
      <w:r w:rsidRPr="005772E4">
        <w:rPr>
          <w:rStyle w:val="Hyperlink"/>
          <w:sz w:val="20"/>
          <w:szCs w:val="20"/>
          <w:lang w:val="en-GB"/>
        </w:rPr>
        <w:t>CDL-</w:t>
      </w:r>
      <w:proofErr w:type="gramStart"/>
      <w:r w:rsidRPr="005772E4">
        <w:rPr>
          <w:rStyle w:val="Hyperlink"/>
          <w:sz w:val="20"/>
          <w:szCs w:val="20"/>
          <w:lang w:val="en-GB"/>
        </w:rPr>
        <w:t>AD(</w:t>
      </w:r>
      <w:proofErr w:type="gramEnd"/>
      <w:r w:rsidRPr="005772E4">
        <w:rPr>
          <w:rStyle w:val="Hyperlink"/>
          <w:sz w:val="20"/>
          <w:szCs w:val="20"/>
          <w:lang w:val="en-GB"/>
        </w:rPr>
        <w:t>2024)024-e</w:t>
      </w:r>
      <w:r>
        <w:rPr>
          <w:rStyle w:val="Hyperlink"/>
          <w:sz w:val="20"/>
          <w:szCs w:val="20"/>
          <w:lang w:val="en-GB"/>
        </w:rPr>
        <w:fldChar w:fldCharType="end"/>
      </w:r>
      <w:r w:rsidRPr="005772E4">
        <w:rPr>
          <w:color w:val="auto"/>
          <w:sz w:val="20"/>
          <w:szCs w:val="20"/>
          <w:lang w:val="en-GB"/>
        </w:rPr>
        <w:br/>
        <w:t>Montenegro – Urgent Opinion on the draft amendments to the Law on Seizure and Confiscation of Material Benefit Derived from Criminal Activity, issued on 22 May 2024, pursuant to Article 14a of the Venice Commission's Revised Rules of Procedure, endorsed by the Venice Commission at its 139th Plenary Session (Venice, 21-22 June 2024)</w:t>
      </w:r>
    </w:p>
    <w:p w14:paraId="5D31EED4" w14:textId="77777777" w:rsidR="007176C0" w:rsidRDefault="007176C0">
      <w:pPr>
        <w:rPr>
          <w:rFonts w:cs="Arial"/>
          <w:color w:val="FFFFFF" w:themeColor="background1"/>
          <w:sz w:val="22"/>
          <w:szCs w:val="22"/>
          <w:shd w:val="clear" w:color="auto" w:fill="1F3864" w:themeFill="accent1" w:themeFillShade="80"/>
          <w:lang w:val="en-GB"/>
        </w:rPr>
      </w:pPr>
    </w:p>
    <w:p w14:paraId="77E811EA" w14:textId="77777777" w:rsidR="00354F1D" w:rsidRDefault="00354F1D">
      <w:pPr>
        <w:rPr>
          <w:rFonts w:cs="Arial"/>
          <w:color w:val="FFFFFF" w:themeColor="background1"/>
          <w:sz w:val="22"/>
          <w:szCs w:val="22"/>
          <w:shd w:val="clear" w:color="auto" w:fill="1F3864" w:themeFill="accent1" w:themeFillShade="80"/>
          <w:lang w:val="en-GB"/>
        </w:rPr>
      </w:pPr>
    </w:p>
    <w:p w14:paraId="31C10457" w14:textId="77777777" w:rsidR="00354F1D" w:rsidRDefault="00354F1D">
      <w:pPr>
        <w:rPr>
          <w:rFonts w:cs="Arial"/>
          <w:color w:val="FFFFFF" w:themeColor="background1"/>
          <w:sz w:val="22"/>
          <w:szCs w:val="22"/>
          <w:shd w:val="clear" w:color="auto" w:fill="1F3864" w:themeFill="accent1" w:themeFillShade="80"/>
          <w:lang w:val="en-GB"/>
        </w:rPr>
      </w:pPr>
    </w:p>
    <w:p w14:paraId="53FD2D05" w14:textId="32B50BAF" w:rsidR="00354F1D" w:rsidRDefault="00354F1D">
      <w:pPr>
        <w:rPr>
          <w:rFonts w:cstheme="minorHAnsi"/>
          <w:lang w:val="en-GB"/>
        </w:rPr>
      </w:pPr>
      <w:r w:rsidRPr="0010460B">
        <w:rPr>
          <w:rFonts w:cstheme="minorHAnsi"/>
          <w:lang w:val="en-GB"/>
        </w:rPr>
        <w:t>Council of Europe Commissioner for Human Rights</w:t>
      </w:r>
    </w:p>
    <w:p w14:paraId="70434242" w14:textId="77777777" w:rsidR="00354F1D" w:rsidRDefault="00354F1D">
      <w:pPr>
        <w:rPr>
          <w:rFonts w:cs="Arial"/>
          <w:color w:val="FFFFFF" w:themeColor="background1"/>
          <w:sz w:val="22"/>
          <w:szCs w:val="22"/>
          <w:shd w:val="clear" w:color="auto" w:fill="1F3864" w:themeFill="accent1" w:themeFillShade="80"/>
          <w:lang w:val="en-GB"/>
        </w:rPr>
      </w:pPr>
    </w:p>
    <w:p w14:paraId="3EEFBB36" w14:textId="77777777" w:rsidR="00354F1D" w:rsidRDefault="00000000" w:rsidP="00354F1D">
      <w:pPr>
        <w:jc w:val="both"/>
        <w:rPr>
          <w:rFonts w:cstheme="minorHAnsi"/>
          <w:color w:val="161616"/>
          <w:shd w:val="clear" w:color="auto" w:fill="FFFFFF"/>
          <w:lang w:val="en-GB"/>
        </w:rPr>
      </w:pPr>
      <w:hyperlink r:id="rId27" w:history="1">
        <w:r w:rsidR="00354F1D" w:rsidRPr="0010460B">
          <w:rPr>
            <w:rStyle w:val="Hyperlink"/>
            <w:rFonts w:cstheme="minorHAnsi"/>
            <w:lang w:val="en-GB"/>
          </w:rPr>
          <w:t>Statement</w:t>
        </w:r>
      </w:hyperlink>
      <w:r w:rsidR="00354F1D" w:rsidRPr="0010460B">
        <w:rPr>
          <w:rFonts w:cstheme="minorHAnsi"/>
          <w:lang w:val="en-GB"/>
        </w:rPr>
        <w:t xml:space="preserve"> </w:t>
      </w:r>
      <w:r w:rsidR="00354F1D">
        <w:rPr>
          <w:rFonts w:cstheme="minorHAnsi"/>
          <w:lang w:val="en-GB"/>
        </w:rPr>
        <w:t>from</w:t>
      </w:r>
      <w:r w:rsidR="00354F1D" w:rsidRPr="0010460B">
        <w:rPr>
          <w:rFonts w:cstheme="minorHAnsi"/>
          <w:lang w:val="en-GB"/>
        </w:rPr>
        <w:t xml:space="preserve"> </w:t>
      </w:r>
      <w:r w:rsidR="00354F1D">
        <w:rPr>
          <w:rFonts w:cstheme="minorHAnsi"/>
          <w:lang w:val="en-GB"/>
        </w:rPr>
        <w:t xml:space="preserve">the former </w:t>
      </w:r>
      <w:r w:rsidR="00354F1D" w:rsidRPr="0010460B">
        <w:rPr>
          <w:rFonts w:cstheme="minorHAnsi"/>
          <w:lang w:val="en-GB"/>
        </w:rPr>
        <w:t xml:space="preserve">Council of Europe Commissioner for Human Rights, </w:t>
      </w:r>
      <w:proofErr w:type="spellStart"/>
      <w:r w:rsidR="00354F1D" w:rsidRPr="0010460B">
        <w:rPr>
          <w:rFonts w:cstheme="minorHAnsi"/>
          <w:lang w:val="en-GB"/>
        </w:rPr>
        <w:t>Dunja</w:t>
      </w:r>
      <w:proofErr w:type="spellEnd"/>
      <w:r w:rsidR="00354F1D" w:rsidRPr="0010460B">
        <w:rPr>
          <w:rFonts w:cstheme="minorHAnsi"/>
          <w:lang w:val="en-GB"/>
        </w:rPr>
        <w:t xml:space="preserve"> </w:t>
      </w:r>
      <w:proofErr w:type="spellStart"/>
      <w:r w:rsidR="00354F1D" w:rsidRPr="0010460B">
        <w:rPr>
          <w:rFonts w:cstheme="minorHAnsi"/>
          <w:lang w:val="en-GB"/>
        </w:rPr>
        <w:t>Mijatović</w:t>
      </w:r>
      <w:proofErr w:type="spellEnd"/>
      <w:r w:rsidR="00354F1D" w:rsidRPr="0010460B">
        <w:rPr>
          <w:rFonts w:cstheme="minorHAnsi"/>
          <w:lang w:val="en-GB"/>
        </w:rPr>
        <w:t>, following her visit to Montenegro from 18 to 21 March</w:t>
      </w:r>
      <w:r w:rsidR="00354F1D">
        <w:rPr>
          <w:rFonts w:cstheme="minorHAnsi"/>
          <w:lang w:val="en-GB"/>
        </w:rPr>
        <w:t>, published on 22 March. The former Commissioner welcomed the contribution of the Protector of Human Rights and Freedoms (Ombudsman Institution)</w:t>
      </w:r>
      <w:r w:rsidR="00354F1D" w:rsidRPr="00E932A3">
        <w:rPr>
          <w:rFonts w:cstheme="minorHAnsi"/>
          <w:color w:val="161616"/>
          <w:shd w:val="clear" w:color="auto" w:fill="FFFFFF"/>
          <w:lang w:val="en-GB"/>
        </w:rPr>
        <w:t xml:space="preserve"> t</w:t>
      </w:r>
      <w:r w:rsidR="00354F1D" w:rsidRPr="00E932A3">
        <w:rPr>
          <w:rFonts w:cstheme="minorHAnsi"/>
          <w:lang w:val="en-GB"/>
        </w:rPr>
        <w:t>o</w:t>
      </w:r>
      <w:r w:rsidR="00354F1D" w:rsidRPr="003C3346">
        <w:rPr>
          <w:rFonts w:cstheme="minorHAnsi"/>
          <w:lang w:val="en-GB"/>
        </w:rPr>
        <w:t xml:space="preserve"> the reinforcement of human rights protection in the country</w:t>
      </w:r>
      <w:r w:rsidR="00354F1D">
        <w:rPr>
          <w:rFonts w:cstheme="minorHAnsi"/>
          <w:lang w:val="en-GB"/>
        </w:rPr>
        <w:t xml:space="preserve">. She further called on the </w:t>
      </w:r>
      <w:r w:rsidR="00354F1D" w:rsidRPr="00B62A26">
        <w:rPr>
          <w:rFonts w:cstheme="minorHAnsi"/>
          <w:lang w:val="en-GB"/>
        </w:rPr>
        <w:t xml:space="preserve">authorities to </w:t>
      </w:r>
      <w:r w:rsidR="00354F1D" w:rsidRPr="00B62A26">
        <w:rPr>
          <w:rFonts w:cstheme="minorHAnsi"/>
          <w:color w:val="161616"/>
          <w:shd w:val="clear" w:color="auto" w:fill="FFFFFF"/>
          <w:lang w:val="en-GB"/>
        </w:rPr>
        <w:t xml:space="preserve">urgently initiate, in consultation with the Protector, a revision of the law governing the institution’s work, </w:t>
      </w:r>
      <w:proofErr w:type="gramStart"/>
      <w:r w:rsidR="00354F1D" w:rsidRPr="00B62A26">
        <w:rPr>
          <w:rFonts w:cstheme="minorHAnsi"/>
          <w:color w:val="161616"/>
          <w:shd w:val="clear" w:color="auto" w:fill="FFFFFF"/>
          <w:lang w:val="en-GB"/>
        </w:rPr>
        <w:t>in order to</w:t>
      </w:r>
      <w:proofErr w:type="gramEnd"/>
      <w:r w:rsidR="00354F1D" w:rsidRPr="00B62A26">
        <w:rPr>
          <w:rFonts w:cstheme="minorHAnsi"/>
          <w:color w:val="161616"/>
          <w:shd w:val="clear" w:color="auto" w:fill="FFFFFF"/>
          <w:lang w:val="en-GB"/>
        </w:rPr>
        <w:t xml:space="preserve"> ensure that it is operating fully in line with the UN Paris Principles and can be accredited with an “A” status by the UN Global Alliance of National Human Rights Institutions.  </w:t>
      </w:r>
    </w:p>
    <w:p w14:paraId="42EDFC2A" w14:textId="77777777" w:rsidR="00354F1D" w:rsidRDefault="00354F1D">
      <w:pPr>
        <w:rPr>
          <w:rFonts w:cs="Arial"/>
          <w:color w:val="FFFFFF" w:themeColor="background1"/>
          <w:sz w:val="22"/>
          <w:szCs w:val="22"/>
          <w:shd w:val="clear" w:color="auto" w:fill="1F3864" w:themeFill="accent1" w:themeFillShade="80"/>
          <w:lang w:val="en-GB"/>
        </w:rPr>
      </w:pPr>
    </w:p>
    <w:p w14:paraId="37E0B78E" w14:textId="77777777" w:rsidR="004F78FA" w:rsidRPr="00043294" w:rsidRDefault="004F78FA" w:rsidP="004F78FA">
      <w:pPr>
        <w:rPr>
          <w:lang w:val="en-US"/>
        </w:rPr>
      </w:pPr>
      <w:r w:rsidRPr="00043294">
        <w:rPr>
          <w:lang w:val="en-US"/>
        </w:rPr>
        <w:lastRenderedPageBreak/>
        <w:t xml:space="preserve">The Congress </w:t>
      </w:r>
      <w:hyperlink r:id="rId28" w:history="1">
        <w:r w:rsidRPr="00043294">
          <w:rPr>
            <w:lang w:val="en-US"/>
          </w:rPr>
          <w:t>of Local and Regional Authorities</w:t>
        </w:r>
      </w:hyperlink>
    </w:p>
    <w:p w14:paraId="0B761E04" w14:textId="77777777" w:rsidR="004F78FA" w:rsidRPr="004F78FA" w:rsidRDefault="004F78FA">
      <w:pPr>
        <w:rPr>
          <w:rFonts w:cs="Arial"/>
          <w:color w:val="FFFFFF" w:themeColor="background1"/>
          <w:sz w:val="22"/>
          <w:szCs w:val="22"/>
          <w:shd w:val="clear" w:color="auto" w:fill="1F3864" w:themeFill="accent1" w:themeFillShade="80"/>
          <w:lang w:val="en-US"/>
        </w:rPr>
      </w:pPr>
    </w:p>
    <w:p w14:paraId="7D871943" w14:textId="77777777" w:rsidR="004F78FA" w:rsidRDefault="004F78FA">
      <w:pPr>
        <w:rPr>
          <w:rFonts w:cs="Arial"/>
          <w:color w:val="FFFFFF" w:themeColor="background1"/>
          <w:sz w:val="22"/>
          <w:szCs w:val="22"/>
          <w:shd w:val="clear" w:color="auto" w:fill="1F3864" w:themeFill="accent1" w:themeFillShade="80"/>
          <w:lang w:val="en-GB"/>
        </w:rPr>
      </w:pPr>
    </w:p>
    <w:p w14:paraId="4FD79C96" w14:textId="77777777" w:rsidR="004F78FA" w:rsidRDefault="004F78FA">
      <w:pPr>
        <w:rPr>
          <w:rFonts w:cs="Arial"/>
          <w:color w:val="FFFFFF" w:themeColor="background1"/>
          <w:sz w:val="22"/>
          <w:szCs w:val="22"/>
          <w:shd w:val="clear" w:color="auto" w:fill="1F3864" w:themeFill="accent1" w:themeFillShade="80"/>
          <w:lang w:val="en-GB"/>
        </w:rPr>
      </w:pPr>
    </w:p>
    <w:p w14:paraId="03C6638A" w14:textId="5F88CB2F" w:rsidR="004F78FA" w:rsidRPr="004F78FA" w:rsidRDefault="004F78FA" w:rsidP="004F78FA">
      <w:pPr>
        <w:rPr>
          <w:rFonts w:eastAsia="Times New Roman" w:cstheme="minorHAnsi"/>
          <w:lang w:val="en-GB"/>
        </w:rPr>
      </w:pPr>
      <w:r w:rsidRPr="004F78FA">
        <w:rPr>
          <w:rFonts w:eastAsia="Times New Roman" w:cstheme="minorHAnsi"/>
          <w:lang w:val="en-GB"/>
        </w:rPr>
        <w:t>Election observations: Local elections in Podgorica (29 September 2024)/</w:t>
      </w:r>
      <w:hyperlink r:id="rId29" w:history="1">
        <w:r w:rsidRPr="004F78FA">
          <w:rPr>
            <w:rFonts w:eastAsia="Times New Roman" w:cstheme="minorHAnsi"/>
            <w:color w:val="0000FF"/>
            <w:u w:val="single"/>
            <w:lang w:val="en-GB"/>
          </w:rPr>
          <w:t>Press release</w:t>
        </w:r>
      </w:hyperlink>
      <w:r w:rsidRPr="004F78FA">
        <w:rPr>
          <w:rFonts w:eastAsia="Times New Roman" w:cstheme="minorHAnsi"/>
          <w:lang w:val="en-GB"/>
        </w:rPr>
        <w:t xml:space="preserve"> is available but recommendation to be adopted in March 202</w:t>
      </w:r>
      <w:r w:rsidRPr="004F78FA">
        <w:rPr>
          <w:rFonts w:eastAsia="Times New Roman" w:cstheme="minorHAnsi"/>
          <w:lang w:val="en-GB"/>
        </w:rPr>
        <w:t>5</w:t>
      </w:r>
    </w:p>
    <w:p w14:paraId="33014750" w14:textId="77777777" w:rsidR="004F78FA" w:rsidRPr="004F78FA" w:rsidRDefault="004F78FA" w:rsidP="004F78FA">
      <w:pPr>
        <w:rPr>
          <w:rFonts w:eastAsia="Times New Roman" w:cstheme="minorHAnsi"/>
          <w:lang w:val="en-GB"/>
        </w:rPr>
      </w:pPr>
    </w:p>
    <w:p w14:paraId="19B568F9" w14:textId="77777777" w:rsidR="004F78FA" w:rsidRPr="004F78FA" w:rsidRDefault="004F78FA" w:rsidP="004F78FA">
      <w:pPr>
        <w:rPr>
          <w:rFonts w:eastAsia="Times New Roman" w:cstheme="minorHAnsi"/>
          <w:lang w:val="en-GB"/>
        </w:rPr>
      </w:pPr>
    </w:p>
    <w:p w14:paraId="4AD3378C" w14:textId="5319A400" w:rsidR="004F78FA" w:rsidRPr="004F78FA" w:rsidRDefault="004F78FA" w:rsidP="004F78FA">
      <w:pPr>
        <w:rPr>
          <w:rFonts w:eastAsia="Times New Roman" w:cstheme="minorHAnsi"/>
          <w:lang w:val="en-GB"/>
        </w:rPr>
      </w:pPr>
      <w:r w:rsidRPr="004F78FA">
        <w:rPr>
          <w:rFonts w:eastAsia="Aptos" w:cstheme="minorHAnsi"/>
          <w:lang w:val="en-GB"/>
        </w:rPr>
        <w:t xml:space="preserve">Monitoring of the European Charter on local </w:t>
      </w:r>
      <w:proofErr w:type="spellStart"/>
      <w:r w:rsidRPr="004F78FA">
        <w:rPr>
          <w:rFonts w:eastAsia="Aptos" w:cstheme="minorHAnsi"/>
          <w:lang w:val="en-GB"/>
        </w:rPr>
        <w:t>self Government</w:t>
      </w:r>
      <w:proofErr w:type="spellEnd"/>
      <w:r w:rsidRPr="004F78FA">
        <w:rPr>
          <w:rFonts w:eastAsia="Aptos" w:cstheme="minorHAnsi"/>
          <w:lang w:val="en-GB"/>
        </w:rPr>
        <w:t xml:space="preserve"> 2024; (</w:t>
      </w:r>
      <w:hyperlink r:id="rId30" w:history="1">
        <w:r w:rsidRPr="004F78FA">
          <w:rPr>
            <w:rFonts w:eastAsia="Aptos" w:cstheme="minorHAnsi"/>
            <w:color w:val="0000FF"/>
            <w:u w:val="single"/>
            <w:lang w:val="en-GB"/>
          </w:rPr>
          <w:t>Rec 506 (2024)</w:t>
        </w:r>
      </w:hyperlink>
      <w:r w:rsidRPr="004F78FA">
        <w:rPr>
          <w:rFonts w:eastAsia="Aptos" w:cstheme="minorHAnsi"/>
          <w:lang w:val="en-GB"/>
        </w:rPr>
        <w:t>)</w:t>
      </w:r>
    </w:p>
    <w:p w14:paraId="1E3E30FD" w14:textId="77777777" w:rsidR="004F78FA" w:rsidRDefault="004F78FA">
      <w:pPr>
        <w:rPr>
          <w:rFonts w:cs="Arial"/>
          <w:color w:val="FFFFFF" w:themeColor="background1"/>
          <w:sz w:val="22"/>
          <w:szCs w:val="22"/>
          <w:shd w:val="clear" w:color="auto" w:fill="1F3864" w:themeFill="accent1" w:themeFillShade="80"/>
          <w:lang w:val="en-GB"/>
        </w:rPr>
      </w:pPr>
    </w:p>
    <w:p w14:paraId="77CB63BD" w14:textId="77777777" w:rsidR="004F78FA" w:rsidRPr="007176C0" w:rsidRDefault="004F78FA">
      <w:pPr>
        <w:rPr>
          <w:rFonts w:cs="Arial"/>
          <w:color w:val="FFFFFF" w:themeColor="background1"/>
          <w:sz w:val="22"/>
          <w:szCs w:val="22"/>
          <w:shd w:val="clear" w:color="auto" w:fill="1F3864" w:themeFill="accent1" w:themeFillShade="80"/>
          <w:lang w:val="en-GB"/>
        </w:rPr>
      </w:pPr>
    </w:p>
    <w:sectPr w:rsidR="004F78FA" w:rsidRPr="007176C0" w:rsidSect="007B3B82">
      <w:footerReference w:type="default" r:id="rId31"/>
      <w:footerReference w:type="first" r:id="rId3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3B31C" w14:textId="77777777" w:rsidR="008E2C75" w:rsidRDefault="008E2C75" w:rsidP="00857FF1">
      <w:r>
        <w:separator/>
      </w:r>
    </w:p>
  </w:endnote>
  <w:endnote w:type="continuationSeparator" w:id="0">
    <w:p w14:paraId="0C6AC025" w14:textId="77777777" w:rsidR="008E2C75" w:rsidRDefault="008E2C7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3ADD" w14:textId="77777777" w:rsidR="008E2C75" w:rsidRDefault="008E2C75" w:rsidP="00857FF1">
      <w:r>
        <w:separator/>
      </w:r>
    </w:p>
  </w:footnote>
  <w:footnote w:type="continuationSeparator" w:id="0">
    <w:p w14:paraId="049A51FB" w14:textId="77777777" w:rsidR="008E2C75" w:rsidRDefault="008E2C75"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913C1"/>
    <w:multiLevelType w:val="hybridMultilevel"/>
    <w:tmpl w:val="616862BC"/>
    <w:lvl w:ilvl="0" w:tplc="AF8C418E">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2"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4"/>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3"/>
  </w:num>
  <w:num w:numId="10" w16cid:durableId="1182088185">
    <w:abstractNumId w:val="9"/>
  </w:num>
  <w:num w:numId="11" w16cid:durableId="360477782">
    <w:abstractNumId w:val="11"/>
  </w:num>
  <w:num w:numId="12" w16cid:durableId="1540388124">
    <w:abstractNumId w:val="1"/>
  </w:num>
  <w:num w:numId="13" w16cid:durableId="1932548456">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L Saskia">
    <w15:presenceInfo w15:providerId="AD" w15:userId="S::Saskia.DANIELL@coe.int::af894d89-3540-492a-8228-65f27ca44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803F4"/>
    <w:rsid w:val="00081DA1"/>
    <w:rsid w:val="00084C0B"/>
    <w:rsid w:val="00085157"/>
    <w:rsid w:val="0008616B"/>
    <w:rsid w:val="00095F4E"/>
    <w:rsid w:val="000A0236"/>
    <w:rsid w:val="000B223F"/>
    <w:rsid w:val="000B4984"/>
    <w:rsid w:val="000B49CA"/>
    <w:rsid w:val="000C1783"/>
    <w:rsid w:val="000E51C1"/>
    <w:rsid w:val="000F082F"/>
    <w:rsid w:val="000F73A4"/>
    <w:rsid w:val="001029E2"/>
    <w:rsid w:val="0011349E"/>
    <w:rsid w:val="00123EAE"/>
    <w:rsid w:val="0012499E"/>
    <w:rsid w:val="001257E8"/>
    <w:rsid w:val="001272D8"/>
    <w:rsid w:val="001279C3"/>
    <w:rsid w:val="00152FC1"/>
    <w:rsid w:val="00157DFE"/>
    <w:rsid w:val="00161282"/>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170D9"/>
    <w:rsid w:val="002207AC"/>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202F"/>
    <w:rsid w:val="0033407D"/>
    <w:rsid w:val="00336823"/>
    <w:rsid w:val="00351BFE"/>
    <w:rsid w:val="0035293A"/>
    <w:rsid w:val="00354D3F"/>
    <w:rsid w:val="00354F1D"/>
    <w:rsid w:val="003572C2"/>
    <w:rsid w:val="0036132D"/>
    <w:rsid w:val="00365602"/>
    <w:rsid w:val="0036606F"/>
    <w:rsid w:val="00370F09"/>
    <w:rsid w:val="00372B8F"/>
    <w:rsid w:val="00372F92"/>
    <w:rsid w:val="003732BD"/>
    <w:rsid w:val="00380DB3"/>
    <w:rsid w:val="003A5BC3"/>
    <w:rsid w:val="003F0C2C"/>
    <w:rsid w:val="003F3823"/>
    <w:rsid w:val="003F4E0F"/>
    <w:rsid w:val="004012A1"/>
    <w:rsid w:val="004013FD"/>
    <w:rsid w:val="00405191"/>
    <w:rsid w:val="00411F51"/>
    <w:rsid w:val="00424436"/>
    <w:rsid w:val="00424AE6"/>
    <w:rsid w:val="00434E92"/>
    <w:rsid w:val="00443197"/>
    <w:rsid w:val="00457269"/>
    <w:rsid w:val="00464735"/>
    <w:rsid w:val="00471625"/>
    <w:rsid w:val="00491D94"/>
    <w:rsid w:val="0049205D"/>
    <w:rsid w:val="00496B58"/>
    <w:rsid w:val="004A628B"/>
    <w:rsid w:val="004B2966"/>
    <w:rsid w:val="004B4189"/>
    <w:rsid w:val="004C29C8"/>
    <w:rsid w:val="004C37B3"/>
    <w:rsid w:val="004C7D34"/>
    <w:rsid w:val="004D4A7E"/>
    <w:rsid w:val="004D4CB4"/>
    <w:rsid w:val="004E1ACA"/>
    <w:rsid w:val="004E3023"/>
    <w:rsid w:val="004E72B6"/>
    <w:rsid w:val="004F1394"/>
    <w:rsid w:val="004F78FA"/>
    <w:rsid w:val="00530EC5"/>
    <w:rsid w:val="0054551A"/>
    <w:rsid w:val="00564F67"/>
    <w:rsid w:val="0056639A"/>
    <w:rsid w:val="00567570"/>
    <w:rsid w:val="0057123C"/>
    <w:rsid w:val="005728A3"/>
    <w:rsid w:val="00573CDC"/>
    <w:rsid w:val="005813CD"/>
    <w:rsid w:val="005837EC"/>
    <w:rsid w:val="00597295"/>
    <w:rsid w:val="005A3425"/>
    <w:rsid w:val="005B2725"/>
    <w:rsid w:val="005B36E6"/>
    <w:rsid w:val="005B37E9"/>
    <w:rsid w:val="005C317F"/>
    <w:rsid w:val="005D4AD7"/>
    <w:rsid w:val="005D7294"/>
    <w:rsid w:val="005E17CB"/>
    <w:rsid w:val="005E1A73"/>
    <w:rsid w:val="005E381E"/>
    <w:rsid w:val="00600E03"/>
    <w:rsid w:val="00602398"/>
    <w:rsid w:val="0061214D"/>
    <w:rsid w:val="006223F7"/>
    <w:rsid w:val="00631EB5"/>
    <w:rsid w:val="00636AF8"/>
    <w:rsid w:val="00647D6B"/>
    <w:rsid w:val="006502C5"/>
    <w:rsid w:val="0065310F"/>
    <w:rsid w:val="0066401C"/>
    <w:rsid w:val="00680789"/>
    <w:rsid w:val="00683C6A"/>
    <w:rsid w:val="006871F9"/>
    <w:rsid w:val="006952AF"/>
    <w:rsid w:val="0069684E"/>
    <w:rsid w:val="006B4AA4"/>
    <w:rsid w:val="006B6601"/>
    <w:rsid w:val="006C5AF1"/>
    <w:rsid w:val="006C758C"/>
    <w:rsid w:val="006D3771"/>
    <w:rsid w:val="006D695E"/>
    <w:rsid w:val="006F4A64"/>
    <w:rsid w:val="00702CE9"/>
    <w:rsid w:val="007176C0"/>
    <w:rsid w:val="007323D4"/>
    <w:rsid w:val="00734D8B"/>
    <w:rsid w:val="00742FA8"/>
    <w:rsid w:val="00744D22"/>
    <w:rsid w:val="0075387E"/>
    <w:rsid w:val="00756962"/>
    <w:rsid w:val="0076072F"/>
    <w:rsid w:val="0076444E"/>
    <w:rsid w:val="0077393F"/>
    <w:rsid w:val="007959C1"/>
    <w:rsid w:val="007A270E"/>
    <w:rsid w:val="007B3B82"/>
    <w:rsid w:val="007D198D"/>
    <w:rsid w:val="007D262D"/>
    <w:rsid w:val="007E2BE3"/>
    <w:rsid w:val="007F2A4E"/>
    <w:rsid w:val="007F352D"/>
    <w:rsid w:val="008026A9"/>
    <w:rsid w:val="008131ED"/>
    <w:rsid w:val="008179BE"/>
    <w:rsid w:val="00833496"/>
    <w:rsid w:val="00833AA1"/>
    <w:rsid w:val="00840C74"/>
    <w:rsid w:val="00857FF1"/>
    <w:rsid w:val="008617BA"/>
    <w:rsid w:val="00861CFB"/>
    <w:rsid w:val="0087426C"/>
    <w:rsid w:val="00884E80"/>
    <w:rsid w:val="00887319"/>
    <w:rsid w:val="00893779"/>
    <w:rsid w:val="008A6094"/>
    <w:rsid w:val="008B037C"/>
    <w:rsid w:val="008B6B20"/>
    <w:rsid w:val="008C2E4F"/>
    <w:rsid w:val="008C38E9"/>
    <w:rsid w:val="008C51BC"/>
    <w:rsid w:val="008C605D"/>
    <w:rsid w:val="008D124A"/>
    <w:rsid w:val="008D5A29"/>
    <w:rsid w:val="008E1947"/>
    <w:rsid w:val="008E2C75"/>
    <w:rsid w:val="0090195D"/>
    <w:rsid w:val="00906927"/>
    <w:rsid w:val="00906B87"/>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07AA3"/>
    <w:rsid w:val="00A316E4"/>
    <w:rsid w:val="00A36CCA"/>
    <w:rsid w:val="00A42F38"/>
    <w:rsid w:val="00A43E9B"/>
    <w:rsid w:val="00A459BF"/>
    <w:rsid w:val="00A476D7"/>
    <w:rsid w:val="00A47E2D"/>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0489"/>
    <w:rsid w:val="00AC541D"/>
    <w:rsid w:val="00AC6FD7"/>
    <w:rsid w:val="00AD3544"/>
    <w:rsid w:val="00AD4A17"/>
    <w:rsid w:val="00AD5BD0"/>
    <w:rsid w:val="00AF2279"/>
    <w:rsid w:val="00AF2511"/>
    <w:rsid w:val="00AF4B2D"/>
    <w:rsid w:val="00AF5605"/>
    <w:rsid w:val="00B22E3E"/>
    <w:rsid w:val="00B2424D"/>
    <w:rsid w:val="00B35012"/>
    <w:rsid w:val="00B36582"/>
    <w:rsid w:val="00B52587"/>
    <w:rsid w:val="00B65730"/>
    <w:rsid w:val="00B807B6"/>
    <w:rsid w:val="00B97671"/>
    <w:rsid w:val="00BD211A"/>
    <w:rsid w:val="00BD26EA"/>
    <w:rsid w:val="00BE1EE0"/>
    <w:rsid w:val="00BE2ADB"/>
    <w:rsid w:val="00BF5595"/>
    <w:rsid w:val="00C003A4"/>
    <w:rsid w:val="00C06969"/>
    <w:rsid w:val="00C06D56"/>
    <w:rsid w:val="00C4022E"/>
    <w:rsid w:val="00C45527"/>
    <w:rsid w:val="00C5444D"/>
    <w:rsid w:val="00C57485"/>
    <w:rsid w:val="00C6182C"/>
    <w:rsid w:val="00C75135"/>
    <w:rsid w:val="00C848FF"/>
    <w:rsid w:val="00C86F4B"/>
    <w:rsid w:val="00CC09C0"/>
    <w:rsid w:val="00CC0E4F"/>
    <w:rsid w:val="00CC5ABF"/>
    <w:rsid w:val="00CD24F2"/>
    <w:rsid w:val="00CD7F9C"/>
    <w:rsid w:val="00CF0660"/>
    <w:rsid w:val="00CF1C6F"/>
    <w:rsid w:val="00D15B02"/>
    <w:rsid w:val="00D20872"/>
    <w:rsid w:val="00D31EA3"/>
    <w:rsid w:val="00D36177"/>
    <w:rsid w:val="00D37016"/>
    <w:rsid w:val="00D447C9"/>
    <w:rsid w:val="00D45CD6"/>
    <w:rsid w:val="00D657E4"/>
    <w:rsid w:val="00D66D1D"/>
    <w:rsid w:val="00D96E9B"/>
    <w:rsid w:val="00DA1D6A"/>
    <w:rsid w:val="00DA55DC"/>
    <w:rsid w:val="00DB05E1"/>
    <w:rsid w:val="00DB1AB7"/>
    <w:rsid w:val="00DC7320"/>
    <w:rsid w:val="00DF19D6"/>
    <w:rsid w:val="00DF7C08"/>
    <w:rsid w:val="00E13798"/>
    <w:rsid w:val="00E147EE"/>
    <w:rsid w:val="00E2087D"/>
    <w:rsid w:val="00E26C9B"/>
    <w:rsid w:val="00E27691"/>
    <w:rsid w:val="00E429AF"/>
    <w:rsid w:val="00E56906"/>
    <w:rsid w:val="00E73844"/>
    <w:rsid w:val="00E81708"/>
    <w:rsid w:val="00E84DC1"/>
    <w:rsid w:val="00E90AB0"/>
    <w:rsid w:val="00EA39A6"/>
    <w:rsid w:val="00ED1080"/>
    <w:rsid w:val="00ED2EDB"/>
    <w:rsid w:val="00ED7B5B"/>
    <w:rsid w:val="00EE24A2"/>
    <w:rsid w:val="00EF5D3B"/>
    <w:rsid w:val="00F070DD"/>
    <w:rsid w:val="00F10A96"/>
    <w:rsid w:val="00F3151D"/>
    <w:rsid w:val="00F375C2"/>
    <w:rsid w:val="00F448D1"/>
    <w:rsid w:val="00F5679C"/>
    <w:rsid w:val="00F64D35"/>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197091895">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0014634">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24702575">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2644083">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951667970">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e.int/en/web/execution/annual-reports" TargetMode="External"/><Relationship Id="rId18" Type="http://schemas.openxmlformats.org/officeDocument/2006/relationships/hyperlink" Target="https://hudoc.exec.coe.int/eng?i=004-65239" TargetMode="External"/><Relationship Id="rId26" Type="http://schemas.openxmlformats.org/officeDocument/2006/relationships/hyperlink" Target="https://hudoc.exec.coe.int/eng?i=DH-DD(2024)1445E" TargetMode="External"/><Relationship Id="rId3" Type="http://schemas.openxmlformats.org/officeDocument/2006/relationships/styles" Target="styles.xml"/><Relationship Id="rId21" Type="http://schemas.openxmlformats.org/officeDocument/2006/relationships/hyperlink" Target="https://rm.coe.int/montenegro-for-publication/1680ae59a5"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rm.coe.int/montenegro-deliverable-2/1680b2722f" TargetMode="External"/><Relationship Id="rId17" Type="http://schemas.openxmlformats.org/officeDocument/2006/relationships/hyperlink" Target="https://hudoc.exec.coe.int/ENG?i=DH-DD(2024)1139E" TargetMode="External"/><Relationship Id="rId25" Type="http://schemas.openxmlformats.org/officeDocument/2006/relationships/hyperlink" Target="https://hudoc.exec.coe.int/eng?i=004-312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udoc.exec.coe.int/ENG?i=004-58435" TargetMode="External"/><Relationship Id="rId20" Type="http://schemas.openxmlformats.org/officeDocument/2006/relationships/hyperlink" Target="https://rm.coe.int/grecorc5-2024-10-final-eng-compliance-report-montenegro-public/1680b1251b" TargetMode="External"/><Relationship Id="rId29" Type="http://schemas.openxmlformats.org/officeDocument/2006/relationships/hyperlink" Target="https://www.coe.int/en/web/congress/-/podgorica-early-local-elections-orderly-but-improvements-desir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montenegro/1680b1df75" TargetMode="External"/><Relationship Id="rId24" Type="http://schemas.openxmlformats.org/officeDocument/2006/relationships/hyperlink" Target="https://www.coe.int/en/web/commissioner/-/montenegro-seize-the-moment-to-strengthen-protection-of-human-rights"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hudoc.exec.coe.int/eng?i=004-65611" TargetMode="External"/><Relationship Id="rId23" Type="http://schemas.openxmlformats.org/officeDocument/2006/relationships/hyperlink" Target="https://pace.coe.int/en/files/33941" TargetMode="External"/><Relationship Id="rId28" Type="http://schemas.openxmlformats.org/officeDocument/2006/relationships/hyperlink" Target="https://www.coe.int/en/web/congress" TargetMode="External"/><Relationship Id="rId10" Type="http://schemas.openxmlformats.org/officeDocument/2006/relationships/hyperlink" Target="http://www.coe.int/en/web/cepej/cepej-stat" TargetMode="External"/><Relationship Id="rId19" Type="http://schemas.openxmlformats.org/officeDocument/2006/relationships/hyperlink" Target="https://hudoc.exec.coe.int/eng?i=DH-DD(2024)866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mailto:DGI-Execution@coe.int" TargetMode="External"/><Relationship Id="rId22" Type="http://schemas.openxmlformats.org/officeDocument/2006/relationships/hyperlink" Target="https://rm.coe.int/c198-cop-2024-15-cop-fur-art11-25-14-en/1680b24d9c" TargetMode="External"/><Relationship Id="rId27" Type="http://schemas.openxmlformats.org/officeDocument/2006/relationships/hyperlink" Target="https://www.coe.int/en/web/commissioner/-/montenegro-seize-the-moment-to-strengthen-protection-of-human-rights" TargetMode="External"/><Relationship Id="rId30" Type="http://schemas.openxmlformats.org/officeDocument/2006/relationships/hyperlink" Target="https://rm.coe.int/rec-506-2024-en-monitoring-of-the-application-of-the-european-charter-/1680af1d3a"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1893</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14</cp:revision>
  <dcterms:created xsi:type="dcterms:W3CDTF">2025-01-20T14:45:00Z</dcterms:created>
  <dcterms:modified xsi:type="dcterms:W3CDTF">2025-02-04T08:53:00Z</dcterms:modified>
</cp:coreProperties>
</file>